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881E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235E7F">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AED311D">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97.140</w:t>
            </w:r>
            <w:r>
              <w:rPr>
                <w:rFonts w:ascii="黑体" w:hAnsi="黑体" w:eastAsia="黑体"/>
                <w:sz w:val="21"/>
                <w:szCs w:val="21"/>
              </w:rPr>
              <w:t xml:space="preserve"> </w:t>
            </w:r>
            <w:r>
              <w:rPr>
                <w:rFonts w:ascii="黑体" w:hAnsi="黑体" w:eastAsia="黑体"/>
                <w:sz w:val="21"/>
                <w:szCs w:val="21"/>
              </w:rPr>
              <w:fldChar w:fldCharType="end"/>
            </w:r>
            <w:bookmarkEnd w:id="0"/>
          </w:p>
        </w:tc>
      </w:tr>
      <w:tr w14:paraId="3D3B4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B5A782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8BFB2C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Y 80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421C6E5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5E44AF5">
            <w:pPr>
              <w:pStyle w:val="54"/>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57C221E6">
      <w:pPr>
        <w:pStyle w:val="55"/>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D9B5F07">
      <w:pPr>
        <w:pStyle w:val="200"/>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C996DA7">
      <w:pPr>
        <w:pStyle w:val="201"/>
        <w:framePr w:wrap="around"/>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5107EE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4E13896">
      <w:pPr>
        <w:pStyle w:val="55"/>
        <w:framePr w:w="9639" w:h="6976" w:hRule="exact" w:hSpace="0" w:vSpace="0" w:wrap="around" w:hAnchor="page" w:y="6408"/>
        <w:jc w:val="center"/>
        <w:rPr>
          <w:rFonts w:hint="eastAsia" w:ascii="黑体" w:hAnsi="黑体" w:eastAsia="黑体"/>
          <w:b w:val="0"/>
          <w:bCs w:val="0"/>
          <w:w w:val="100"/>
        </w:rPr>
      </w:pPr>
    </w:p>
    <w:p w14:paraId="2F44B613">
      <w:pPr>
        <w:pStyle w:val="202"/>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非移动类定制家具质量安全和风险控制技术要求</w:t>
      </w:r>
      <w:r>
        <w:fldChar w:fldCharType="end"/>
      </w:r>
      <w:bookmarkEnd w:id="9"/>
    </w:p>
    <w:p w14:paraId="7A09B9BC">
      <w:pPr>
        <w:framePr w:w="9639" w:h="6974" w:hRule="exact" w:wrap="around" w:vAnchor="page" w:hAnchor="page" w:x="1419" w:y="6408" w:anchorLock="1"/>
        <w:ind w:left="-1418"/>
      </w:pPr>
    </w:p>
    <w:p w14:paraId="62276266">
      <w:pPr>
        <w:pStyle w:val="13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requirements for non-</w:t>
      </w:r>
      <w:r>
        <w:rPr>
          <w:rFonts w:hint="eastAsia" w:eastAsia="黑体"/>
          <w:szCs w:val="28"/>
          <w:lang w:val="en-US" w:eastAsia="zh-CN"/>
        </w:rPr>
        <w:t xml:space="preserve">mobile </w:t>
      </w:r>
      <w:r>
        <w:rPr>
          <w:rFonts w:hint="eastAsia" w:eastAsia="黑体"/>
          <w:szCs w:val="28"/>
        </w:rPr>
        <w:t>custom furniture on quality safety and risk control</w:t>
      </w:r>
    </w:p>
    <w:p w14:paraId="1BF6BBB3">
      <w:pPr>
        <w:pStyle w:val="130"/>
        <w:framePr w:w="9639" w:h="6974" w:hRule="exact" w:wrap="around" w:vAnchor="page" w:hAnchor="page" w:x="1419" w:y="6408" w:anchorLock="1"/>
        <w:jc w:val="both"/>
        <w:textAlignment w:val="bottom"/>
        <w:rPr>
          <w:rFonts w:eastAsia="黑体"/>
          <w:szCs w:val="28"/>
        </w:rPr>
      </w:pPr>
      <w:r>
        <w:rPr>
          <w:rFonts w:eastAsia="黑体"/>
          <w:szCs w:val="28"/>
        </w:rPr>
        <w:fldChar w:fldCharType="end"/>
      </w:r>
      <w:bookmarkEnd w:id="10"/>
    </w:p>
    <w:p w14:paraId="638B70EE">
      <w:pPr>
        <w:framePr w:w="9639" w:h="6974" w:hRule="exact" w:wrap="around" w:vAnchor="page" w:hAnchor="page" w:x="1419" w:y="6408" w:anchorLock="1"/>
        <w:spacing w:line="760" w:lineRule="exact"/>
        <w:ind w:left="-1418"/>
      </w:pPr>
    </w:p>
    <w:p w14:paraId="77784F6C">
      <w:pPr>
        <w:pStyle w:val="130"/>
        <w:framePr w:w="9639" w:h="6974" w:hRule="exact" w:wrap="around" w:vAnchor="page" w:hAnchor="page" w:x="1419" w:y="6408" w:anchorLock="1"/>
        <w:textAlignment w:val="bottom"/>
        <w:rPr>
          <w:rFonts w:eastAsia="黑体"/>
          <w:szCs w:val="28"/>
        </w:rPr>
      </w:pPr>
    </w:p>
    <w:p w14:paraId="5D8BD0D4">
      <w:pPr>
        <w:pStyle w:val="130"/>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7D732C0">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（本草案完成时间：2025.10.27）</w:t>
      </w:r>
      <w:r>
        <w:rPr>
          <w:sz w:val="21"/>
          <w:szCs w:val="28"/>
        </w:rPr>
        <w:fldChar w:fldCharType="end"/>
      </w:r>
      <w:bookmarkEnd w:id="12"/>
    </w:p>
    <w:p w14:paraId="75C2D281">
      <w:pPr>
        <w:pStyle w:val="13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E128823">
      <w:pPr>
        <w:pStyle w:val="198"/>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7FD887F">
      <w:pPr>
        <w:pStyle w:val="199"/>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46A4B8D">
      <w:pPr>
        <w:pStyle w:val="156"/>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4CE12AC7">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532E3DD">
      <w:pPr>
        <w:pStyle w:val="96"/>
        <w:spacing w:after="468"/>
      </w:pPr>
      <w:bookmarkStart w:id="21" w:name="BookMark1"/>
      <w:bookmarkStart w:id="22" w:name="_Toc199945465"/>
      <w:bookmarkStart w:id="23" w:name="_Toc196736215"/>
      <w:bookmarkStart w:id="24" w:name="_Toc128993109"/>
      <w:bookmarkStart w:id="25" w:name="_Toc199509038"/>
      <w:bookmarkStart w:id="26" w:name="_Toc193965939"/>
      <w:bookmarkStart w:id="27" w:name="_Toc208995850"/>
      <w:bookmarkStart w:id="28" w:name="_Toc208995874"/>
      <w:bookmarkStart w:id="29" w:name="_Toc195520605"/>
      <w:bookmarkStart w:id="30" w:name="_Toc128990068"/>
      <w:bookmarkStart w:id="31" w:name="_Toc199512857"/>
      <w:bookmarkStart w:id="32" w:name="_Toc199149048"/>
      <w:bookmarkStart w:id="33" w:name="_Toc129685308"/>
      <w:bookmarkStart w:id="34" w:name="_Toc196736194"/>
      <w:bookmarkStart w:id="35" w:name="_Toc128993073"/>
      <w:bookmarkStart w:id="36" w:name="_Toc199149021"/>
      <w:bookmarkStart w:id="37" w:name="_Toc199509058"/>
      <w:bookmarkStart w:id="38" w:name="_Toc192176460"/>
      <w:bookmarkStart w:id="39" w:name="_Toc199509105"/>
      <w:bookmarkStart w:id="40" w:name="_Toc192176512"/>
      <w:bookmarkStart w:id="41" w:name="_Toc128995422"/>
      <w:r>
        <w:rPr>
          <w:rFonts w:hint="eastAsia"/>
          <w:spacing w:val="320"/>
        </w:rPr>
        <w:t>目</w:t>
      </w:r>
      <w:r>
        <w:rPr>
          <w:rFonts w:hint="eastAsia"/>
        </w:rPr>
        <w:t>次</w:t>
      </w:r>
    </w:p>
    <w:p w14:paraId="3C5C91B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"_Toc212553728"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_Toc212553728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464FF4A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"_Toc212553729"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_Toc212553729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468665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"_Toc212553730"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_Toc212553730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42B8EC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"_Toc212553731"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_Toc212553731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611E48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"_Toc212553732" </w:instrText>
      </w:r>
      <w:r>
        <w:fldChar w:fldCharType="separate"/>
      </w:r>
      <w:r>
        <w:rPr>
          <w:rStyle w:val="34"/>
          <w:rFonts w:hint="eastAsia"/>
        </w:rPr>
        <w:t>4</w:t>
      </w:r>
      <w:r>
        <w:rPr>
          <w:rStyle w:val="34"/>
        </w:rPr>
        <w:t xml:space="preserve"> </w:t>
      </w:r>
      <w:r>
        <w:rPr>
          <w:rStyle w:val="34"/>
          <w:rFonts w:hint="eastAsia"/>
        </w:rPr>
        <w:t xml:space="preserve"> 总体要求</w:t>
      </w:r>
      <w:r>
        <w:rPr>
          <w:rFonts w:hint="eastAsia"/>
        </w:rPr>
        <w:tab/>
      </w:r>
      <w:r>
        <w:rPr>
          <w:rFonts w:hint="eastAsia"/>
        </w:rPr>
        <w:fldChar w:fldCharType="begin"/>
      </w:r>
      <w:r>
        <w:rPr>
          <w:rFonts w:hint="eastAsia"/>
        </w:rPr>
        <w:instrText xml:space="preserve"> </w:instrText>
      </w:r>
      <w:r>
        <w:instrText xml:space="preserve">PAGEREF _Toc212553732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777EBC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"_Toc212553733" </w:instrText>
      </w:r>
      <w:r>
        <w:fldChar w:fldCharType="separate"/>
      </w:r>
      <w:r>
        <w:rPr>
          <w:rStyle w:val="34"/>
          <w:rFonts w:hint="eastAsia"/>
        </w:rPr>
        <w:t>5</w:t>
      </w:r>
      <w:r>
        <w:rPr>
          <w:rStyle w:val="34"/>
        </w:rPr>
        <w:t xml:space="preserve"> </w:t>
      </w:r>
      <w:r>
        <w:rPr>
          <w:rStyle w:val="34"/>
          <w:rFonts w:hint="eastAsia"/>
        </w:rPr>
        <w:t xml:space="preserve"> 设计</w:t>
      </w:r>
      <w:r>
        <w:rPr>
          <w:rFonts w:hint="eastAsia"/>
        </w:rPr>
        <w:tab/>
      </w:r>
      <w:r>
        <w:rPr>
          <w:rFonts w:hint="eastAsia"/>
        </w:rPr>
        <w:fldChar w:fldCharType="begin"/>
      </w:r>
      <w:r>
        <w:rPr>
          <w:rFonts w:hint="eastAsia"/>
        </w:rPr>
        <w:instrText xml:space="preserve"> </w:instrText>
      </w:r>
      <w:r>
        <w:instrText xml:space="preserve">PAGEREF _Toc212553733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E9CECA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"_Toc212553734" </w:instrText>
      </w:r>
      <w:r>
        <w:fldChar w:fldCharType="separate"/>
      </w:r>
      <w:r>
        <w:rPr>
          <w:rStyle w:val="34"/>
          <w:rFonts w:hint="eastAsia"/>
        </w:rPr>
        <w:t>6</w:t>
      </w:r>
      <w:r>
        <w:rPr>
          <w:rStyle w:val="34"/>
        </w:rPr>
        <w:t xml:space="preserve"> </w:t>
      </w:r>
      <w:r>
        <w:rPr>
          <w:rStyle w:val="34"/>
          <w:rFonts w:hint="eastAsia"/>
        </w:rPr>
        <w:t xml:space="preserve"> 原辅材料控制</w:t>
      </w:r>
      <w:r>
        <w:rPr>
          <w:rFonts w:hint="eastAsia"/>
        </w:rPr>
        <w:tab/>
      </w:r>
      <w:r>
        <w:rPr>
          <w:rFonts w:hint="eastAsia"/>
        </w:rPr>
        <w:fldChar w:fldCharType="begin"/>
      </w:r>
      <w:r>
        <w:rPr>
          <w:rFonts w:hint="eastAsia"/>
        </w:rPr>
        <w:instrText xml:space="preserve"> </w:instrText>
      </w:r>
      <w:r>
        <w:instrText xml:space="preserve">PAGEREF _Toc212553734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52EFDA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"_Toc212553735" </w:instrText>
      </w:r>
      <w:r>
        <w:fldChar w:fldCharType="separate"/>
      </w:r>
      <w:r>
        <w:rPr>
          <w:rStyle w:val="34"/>
          <w:rFonts w:hint="eastAsia"/>
        </w:rPr>
        <w:t>7</w:t>
      </w:r>
      <w:r>
        <w:rPr>
          <w:rStyle w:val="34"/>
        </w:rPr>
        <w:t xml:space="preserve"> </w:t>
      </w:r>
      <w:r>
        <w:rPr>
          <w:rStyle w:val="34"/>
          <w:rFonts w:hint="eastAsia"/>
        </w:rPr>
        <w:t xml:space="preserve"> 生产</w:t>
      </w:r>
      <w:r>
        <w:rPr>
          <w:rFonts w:hint="eastAsia"/>
        </w:rPr>
        <w:tab/>
      </w:r>
      <w:r>
        <w:rPr>
          <w:rFonts w:hint="eastAsia"/>
        </w:rPr>
        <w:fldChar w:fldCharType="begin"/>
      </w:r>
      <w:r>
        <w:rPr>
          <w:rFonts w:hint="eastAsia"/>
        </w:rPr>
        <w:instrText xml:space="preserve"> </w:instrText>
      </w:r>
      <w:r>
        <w:instrText xml:space="preserve">PAGEREF _Toc212553735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6C60B1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"_Toc212553736" </w:instrText>
      </w:r>
      <w:r>
        <w:fldChar w:fldCharType="separate"/>
      </w:r>
      <w:r>
        <w:rPr>
          <w:rStyle w:val="34"/>
          <w:rFonts w:hint="eastAsia"/>
        </w:rPr>
        <w:t>8</w:t>
      </w:r>
      <w:r>
        <w:rPr>
          <w:rStyle w:val="34"/>
        </w:rPr>
        <w:t xml:space="preserve"> </w:t>
      </w:r>
      <w:r>
        <w:rPr>
          <w:rStyle w:val="34"/>
          <w:rFonts w:hint="eastAsia"/>
        </w:rPr>
        <w:t xml:space="preserve"> 安装</w:t>
      </w:r>
      <w:r>
        <w:rPr>
          <w:rFonts w:hint="eastAsia"/>
        </w:rPr>
        <w:tab/>
      </w:r>
      <w:r>
        <w:rPr>
          <w:rFonts w:hint="eastAsia"/>
        </w:rPr>
        <w:fldChar w:fldCharType="begin"/>
      </w:r>
      <w:r>
        <w:rPr>
          <w:rFonts w:hint="eastAsia"/>
        </w:rPr>
        <w:instrText xml:space="preserve"> </w:instrText>
      </w:r>
      <w:r>
        <w:instrText xml:space="preserve">PAGEREF _Toc212553736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6A380E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"_Toc212553737" </w:instrText>
      </w:r>
      <w:r>
        <w:fldChar w:fldCharType="separate"/>
      </w:r>
      <w:r>
        <w:rPr>
          <w:rStyle w:val="34"/>
          <w:rFonts w:hint="eastAsia"/>
        </w:rPr>
        <w:t>9</w:t>
      </w:r>
      <w:r>
        <w:rPr>
          <w:rStyle w:val="34"/>
        </w:rPr>
        <w:t xml:space="preserve"> </w:t>
      </w:r>
      <w:r>
        <w:rPr>
          <w:rStyle w:val="34"/>
          <w:rFonts w:hint="eastAsia"/>
        </w:rPr>
        <w:t xml:space="preserve"> 验收</w:t>
      </w:r>
      <w:r>
        <w:rPr>
          <w:rFonts w:hint="eastAsia"/>
        </w:rPr>
        <w:tab/>
      </w:r>
      <w:r>
        <w:rPr>
          <w:rFonts w:hint="eastAsia"/>
        </w:rPr>
        <w:fldChar w:fldCharType="begin"/>
      </w:r>
      <w:r>
        <w:rPr>
          <w:rFonts w:hint="eastAsia"/>
        </w:rPr>
        <w:instrText xml:space="preserve"> </w:instrText>
      </w:r>
      <w:r>
        <w:instrText xml:space="preserve">PAGEREF _Toc212553737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9946C0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"_Toc212553738" </w:instrText>
      </w:r>
      <w:r>
        <w:fldChar w:fldCharType="separate"/>
      </w:r>
      <w:r>
        <w:rPr>
          <w:rStyle w:val="34"/>
          <w:rFonts w:hint="eastAsia"/>
        </w:rPr>
        <w:t>附录A（资料性）</w:t>
      </w:r>
      <w:r>
        <w:rPr>
          <w:rStyle w:val="34"/>
        </w:rPr>
        <w:t xml:space="preserve"> </w:t>
      </w:r>
      <w:r>
        <w:rPr>
          <w:rStyle w:val="34"/>
          <w:rFonts w:hint="eastAsia"/>
        </w:rPr>
        <w:t xml:space="preserve"> 主要原辅材料要求</w:t>
      </w:r>
      <w:r>
        <w:rPr>
          <w:rFonts w:hint="eastAsia"/>
        </w:rPr>
        <w:tab/>
      </w:r>
      <w:r>
        <w:rPr>
          <w:rFonts w:hint="eastAsia"/>
        </w:rPr>
        <w:t>9</w:t>
      </w:r>
      <w:r>
        <w:rPr>
          <w:rFonts w:hint="eastAsia"/>
        </w:rPr>
        <w:fldChar w:fldCharType="end"/>
      </w:r>
    </w:p>
    <w:p w14:paraId="6E00B05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"_Toc212553739" </w:instrText>
      </w:r>
      <w:r>
        <w:fldChar w:fldCharType="separate"/>
      </w:r>
      <w:r>
        <w:rPr>
          <w:rStyle w:val="34"/>
          <w:rFonts w:hint="eastAsia"/>
        </w:rPr>
        <w:t>附录B（资料性）</w:t>
      </w:r>
      <w:r>
        <w:rPr>
          <w:rStyle w:val="34"/>
        </w:rPr>
        <w:t xml:space="preserve"> </w:t>
      </w:r>
      <w:r>
        <w:rPr>
          <w:rStyle w:val="34"/>
          <w:rFonts w:hint="eastAsia"/>
        </w:rPr>
        <w:t xml:space="preserve"> 定制家具验收单</w:t>
      </w:r>
      <w:r>
        <w:rPr>
          <w:rFonts w:hint="eastAsia"/>
        </w:rPr>
        <w:tab/>
      </w:r>
      <w:r>
        <w:rPr>
          <w:rFonts w:hint="eastAsia"/>
        </w:rPr>
        <w:t>12</w:t>
      </w:r>
      <w:r>
        <w:rPr>
          <w:rFonts w:hint="eastAsia"/>
        </w:rPr>
        <w:fldChar w:fldCharType="end"/>
      </w:r>
    </w:p>
    <w:p w14:paraId="2B79E01C">
      <w:pPr>
        <w:pStyle w:val="96"/>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7D97583A">
      <w:pPr>
        <w:pStyle w:val="94"/>
        <w:spacing w:after="468"/>
      </w:pPr>
      <w:bookmarkStart w:id="42" w:name="_Toc212553728"/>
      <w:bookmarkStart w:id="43"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220A2E8">
      <w:pPr>
        <w:pStyle w:val="61"/>
        <w:ind w:firstLine="420"/>
      </w:pPr>
      <w:r>
        <w:rPr>
          <w:rFonts w:hint="eastAsia"/>
        </w:rPr>
        <w:t>本文件按照GB/T 1.1—2020《标准化工作导则  第1部分：标准化文件的结构和起草规则》的规定起草。</w:t>
      </w:r>
    </w:p>
    <w:p w14:paraId="29165F3F">
      <w:pPr>
        <w:pStyle w:val="61"/>
        <w:ind w:firstLine="420"/>
      </w:pPr>
      <w:r>
        <w:rPr>
          <w:rFonts w:hint="eastAsia"/>
        </w:rPr>
        <w:t>本文件由江苏省市场监督管理局提出并组织实施。</w:t>
      </w:r>
    </w:p>
    <w:p w14:paraId="5A50B9DE">
      <w:pPr>
        <w:pStyle w:val="61"/>
        <w:ind w:firstLine="420"/>
      </w:pPr>
      <w:r>
        <w:rPr>
          <w:rFonts w:hint="eastAsia"/>
        </w:rPr>
        <w:t>本文件由江苏省产品缺陷与安全管理标准化技术委员会（JS/TC 65）归口。</w:t>
      </w:r>
    </w:p>
    <w:p w14:paraId="65F76C83">
      <w:pPr>
        <w:pStyle w:val="61"/>
        <w:ind w:firstLine="420"/>
      </w:pPr>
      <w:r>
        <w:rPr>
          <w:rFonts w:hint="eastAsia"/>
        </w:rPr>
        <w:t>本文件起草单位：江苏德鲁尼智能家居有限公司、邳州市市场监督综合检验检测中心、徐州泽城经发建设有限公司、江苏凯蒂家居用品有限公司、江苏联创智能家居有限公司、江苏省质量和标准化研究院。</w:t>
      </w:r>
    </w:p>
    <w:p w14:paraId="600AC8E3">
      <w:pPr>
        <w:pStyle w:val="61"/>
        <w:ind w:firstLine="420"/>
      </w:pPr>
      <w:r>
        <w:rPr>
          <w:rFonts w:hint="eastAsia"/>
        </w:rPr>
        <w:t>本文件主要起草人：李敏、韩勇、</w:t>
      </w:r>
      <w:bookmarkStart w:id="44" w:name="OLE_LINK1"/>
      <w:r>
        <w:rPr>
          <w:rFonts w:hint="eastAsia"/>
        </w:rPr>
        <w:t>吴含、邵学军、王茂松、庄新中、</w:t>
      </w:r>
      <w:bookmarkEnd w:id="44"/>
      <w:r>
        <w:rPr>
          <w:rFonts w:hint="eastAsia"/>
        </w:rPr>
        <w:t>李雪。</w:t>
      </w:r>
    </w:p>
    <w:p w14:paraId="18C98A81">
      <w:pPr>
        <w:pStyle w:val="61"/>
        <w:ind w:firstLine="420"/>
      </w:pPr>
    </w:p>
    <w:p w14:paraId="06D328C5">
      <w:pPr>
        <w:pStyle w:val="61"/>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43"/>
    <w:p w14:paraId="6DCFBFFE">
      <w:pPr>
        <w:spacing w:line="20" w:lineRule="exact"/>
        <w:jc w:val="center"/>
        <w:rPr>
          <w:rFonts w:hint="eastAsia" w:ascii="黑体" w:hAnsi="黑体" w:eastAsia="黑体"/>
          <w:sz w:val="32"/>
          <w:szCs w:val="32"/>
        </w:rPr>
      </w:pPr>
      <w:bookmarkStart w:id="45" w:name="BookMark4"/>
    </w:p>
    <w:p w14:paraId="5605567A">
      <w:pPr>
        <w:spacing w:line="20" w:lineRule="exact"/>
        <w:jc w:val="center"/>
        <w:rPr>
          <w:rFonts w:hint="eastAsia" w:ascii="黑体" w:hAnsi="黑体" w:eastAsia="黑体"/>
          <w:sz w:val="32"/>
          <w:szCs w:val="32"/>
        </w:rPr>
      </w:pPr>
    </w:p>
    <w:sdt>
      <w:sdtPr>
        <w:tag w:val="NEW_STAND_NAME"/>
        <w:id w:val="595910757"/>
        <w:lock w:val="sdtLocked"/>
        <w:placeholder>
          <w:docPart w:val="B1F808B638A24BC7B36B841EBF7BDFA0"/>
        </w:placeholder>
      </w:sdtPr>
      <w:sdtContent>
        <w:p w14:paraId="25D3730B">
          <w:pPr>
            <w:pStyle w:val="182"/>
            <w:spacing w:before="3" w:beforeLines="1" w:after="686" w:afterLines="220"/>
            <w:rPr>
              <w:rFonts w:hint="eastAsia"/>
            </w:rPr>
          </w:pPr>
          <w:bookmarkStart w:id="46" w:name="NEW_STAND_NAME"/>
          <w:r>
            <w:rPr>
              <w:rFonts w:hint="eastAsia"/>
            </w:rPr>
            <w:t>非移动类定制家具质量安全和风险控制技术要求</w:t>
          </w:r>
        </w:p>
      </w:sdtContent>
    </w:sdt>
    <w:bookmarkEnd w:id="46"/>
    <w:p w14:paraId="3BF135FA">
      <w:pPr>
        <w:pStyle w:val="109"/>
        <w:spacing w:before="312" w:after="312"/>
      </w:pPr>
      <w:bookmarkStart w:id="47" w:name="_Toc17233333"/>
      <w:bookmarkStart w:id="48" w:name="_Toc199509039"/>
      <w:bookmarkStart w:id="49" w:name="_Toc192176513"/>
      <w:bookmarkStart w:id="50" w:name="_Toc195520606"/>
      <w:bookmarkStart w:id="51" w:name="_Toc208995851"/>
      <w:bookmarkStart w:id="52" w:name="_Toc199509059"/>
      <w:bookmarkStart w:id="53" w:name="_Toc24884211"/>
      <w:bookmarkStart w:id="54" w:name="_Toc196736195"/>
      <w:bookmarkStart w:id="55" w:name="_Toc17233325"/>
      <w:bookmarkStart w:id="56" w:name="_Toc128995423"/>
      <w:bookmarkStart w:id="57" w:name="_Toc26648465"/>
      <w:bookmarkStart w:id="58" w:name="_Toc97191423"/>
      <w:bookmarkStart w:id="59" w:name="_Toc199149049"/>
      <w:bookmarkStart w:id="60" w:name="_Toc128993110"/>
      <w:bookmarkStart w:id="61" w:name="_Toc199512858"/>
      <w:bookmarkStart w:id="62" w:name="_Toc24884218"/>
      <w:bookmarkStart w:id="63" w:name="_Toc26718930"/>
      <w:bookmarkStart w:id="64" w:name="_Toc128990069"/>
      <w:bookmarkStart w:id="65" w:name="_Toc199945466"/>
      <w:bookmarkStart w:id="66" w:name="_Toc129685309"/>
      <w:bookmarkStart w:id="67" w:name="_Toc212553729"/>
      <w:bookmarkStart w:id="68" w:name="_Toc208995875"/>
      <w:bookmarkStart w:id="69" w:name="_Toc193965940"/>
      <w:bookmarkStart w:id="70" w:name="_Toc196736216"/>
      <w:bookmarkStart w:id="71" w:name="_Toc192176461"/>
      <w:bookmarkStart w:id="72" w:name="_Toc199509106"/>
      <w:bookmarkStart w:id="73" w:name="_Toc26986771"/>
      <w:bookmarkStart w:id="74" w:name="_Toc199149022"/>
      <w:bookmarkStart w:id="75" w:name="_Toc26986530"/>
      <w:bookmarkStart w:id="76" w:name="_Toc128993074"/>
      <w:r>
        <w:rPr>
          <w:rFonts w:hint="eastAsia"/>
        </w:rPr>
        <w:t>范围</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FB08E83">
      <w:pPr>
        <w:pStyle w:val="61"/>
        <w:ind w:firstLine="420"/>
        <w:rPr>
          <w:highlight w:val="yellow"/>
        </w:rPr>
      </w:pPr>
      <w:bookmarkStart w:id="77" w:name="_Toc26648466"/>
      <w:bookmarkStart w:id="78" w:name="_Toc17233334"/>
      <w:bookmarkStart w:id="79" w:name="_Toc17233326"/>
      <w:bookmarkStart w:id="80" w:name="_Toc24884212"/>
      <w:bookmarkStart w:id="81" w:name="_Toc24884219"/>
      <w:r>
        <w:rPr>
          <w:rFonts w:hint="eastAsia"/>
        </w:rPr>
        <w:t>本文件从总体要求、设计、原辅材料控制、生产、安装、验收等方面明确了非移动类定制家具质量安全和风险控制的技术要求。</w:t>
      </w:r>
    </w:p>
    <w:p w14:paraId="23581780">
      <w:pPr>
        <w:pStyle w:val="61"/>
        <w:ind w:firstLine="420"/>
      </w:pPr>
      <w:r>
        <w:rPr>
          <w:rFonts w:hint="eastAsia"/>
        </w:rPr>
        <w:t>本文件适用于住宅内的非移动类定制家具的设计、原辅材料控制、生产、安装和验收。移动类定制家具可参照执行。</w:t>
      </w:r>
    </w:p>
    <w:p w14:paraId="058A5029">
      <w:pPr>
        <w:pStyle w:val="109"/>
        <w:spacing w:before="312" w:after="312"/>
      </w:pPr>
      <w:bookmarkStart w:id="82" w:name="_Toc26986531"/>
      <w:bookmarkStart w:id="83" w:name="_Toc26718931"/>
      <w:bookmarkStart w:id="84" w:name="_Toc192176514"/>
      <w:bookmarkStart w:id="85" w:name="_Toc128990070"/>
      <w:bookmarkStart w:id="86" w:name="_Toc195520607"/>
      <w:bookmarkStart w:id="87" w:name="_Toc97191424"/>
      <w:bookmarkStart w:id="88" w:name="_Toc128995424"/>
      <w:bookmarkStart w:id="89" w:name="_Toc193965941"/>
      <w:bookmarkStart w:id="90" w:name="_Toc26986772"/>
      <w:bookmarkStart w:id="91" w:name="_Toc128993111"/>
      <w:bookmarkStart w:id="92" w:name="_Toc128993075"/>
      <w:bookmarkStart w:id="93" w:name="_Toc192176462"/>
      <w:bookmarkStart w:id="94" w:name="_Toc129685310"/>
      <w:r>
        <w:rPr>
          <w:rFonts w:hint="eastAsia"/>
        </w:rPr>
        <w:t xml:space="preserve"> </w:t>
      </w:r>
      <w:bookmarkStart w:id="95" w:name="_Toc208995876"/>
      <w:bookmarkStart w:id="96" w:name="_Toc199149050"/>
      <w:bookmarkStart w:id="97" w:name="_Toc208995852"/>
      <w:bookmarkStart w:id="98" w:name="_Toc212553730"/>
      <w:bookmarkStart w:id="99" w:name="_Toc199149023"/>
      <w:bookmarkStart w:id="100" w:name="_Toc199509107"/>
      <w:bookmarkStart w:id="101" w:name="_Toc199509040"/>
      <w:bookmarkStart w:id="102" w:name="_Toc199945467"/>
      <w:bookmarkStart w:id="103" w:name="_Toc196736196"/>
      <w:bookmarkStart w:id="104" w:name="_Toc199509060"/>
      <w:bookmarkStart w:id="105" w:name="_Toc199512859"/>
      <w:bookmarkStart w:id="106" w:name="_Toc196736217"/>
      <w:r>
        <w:rPr>
          <w:rFonts w:hint="eastAsia"/>
        </w:rPr>
        <w:t>规范性引用文件</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sdt>
      <w:sdtPr>
        <w:rPr>
          <w:rFonts w:hint="eastAsia"/>
        </w:rPr>
        <w:id w:val="715848253"/>
        <w:placeholder>
          <w:docPart w:val="7673443F1A9149728A96749CF357E5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31F363">
          <w:pPr>
            <w:pStyle w:val="6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552E32C">
      <w:pPr>
        <w:pStyle w:val="235"/>
      </w:pPr>
      <w:r>
        <w:rPr>
          <w:rFonts w:hint="eastAsia"/>
        </w:rPr>
        <w:t>GB/T 5296.6 消费品使用说明 第6部分：家具</w:t>
      </w:r>
    </w:p>
    <w:p w14:paraId="37E1F064">
      <w:pPr>
        <w:pStyle w:val="235"/>
        <w:rPr>
          <w:highlight w:val="none"/>
        </w:rPr>
      </w:pPr>
      <w:r>
        <w:rPr>
          <w:rFonts w:hint="eastAsia"/>
          <w:highlight w:val="none"/>
        </w:rPr>
        <w:t>GB 6675.1</w:t>
      </w:r>
      <w:r>
        <w:rPr>
          <w:rFonts w:hint="eastAsia"/>
          <w:highlight w:val="none"/>
          <w:lang w:val="en-US" w:eastAsia="zh-CN"/>
        </w:rPr>
        <w:t>-2025</w:t>
      </w:r>
      <w:r>
        <w:rPr>
          <w:rFonts w:hint="eastAsia"/>
          <w:highlight w:val="none"/>
        </w:rPr>
        <w:t xml:space="preserve"> 玩具安全 第1部分：基本规范</w:t>
      </w:r>
    </w:p>
    <w:p w14:paraId="71D00B42">
      <w:pPr>
        <w:pStyle w:val="235"/>
        <w:rPr>
          <w:highlight w:val="none"/>
        </w:rPr>
      </w:pPr>
      <w:r>
        <w:rPr>
          <w:rFonts w:hint="eastAsia"/>
          <w:highlight w:val="none"/>
        </w:rPr>
        <w:t>GB 6675.2</w:t>
      </w:r>
      <w:r>
        <w:rPr>
          <w:rFonts w:hint="eastAsia"/>
          <w:highlight w:val="none"/>
          <w:lang w:val="en-US" w:eastAsia="zh-CN"/>
        </w:rPr>
        <w:t>-2025</w:t>
      </w:r>
      <w:r>
        <w:rPr>
          <w:rFonts w:hint="eastAsia"/>
          <w:highlight w:val="none"/>
        </w:rPr>
        <w:t xml:space="preserve"> 玩具安全 第2部分：机械与物理性能</w:t>
      </w:r>
    </w:p>
    <w:p w14:paraId="554CE87F">
      <w:pPr>
        <w:pStyle w:val="235"/>
        <w:rPr>
          <w:highlight w:val="none"/>
        </w:rPr>
      </w:pPr>
      <w:r>
        <w:rPr>
          <w:rFonts w:hint="eastAsia"/>
          <w:highlight w:val="none"/>
        </w:rPr>
        <w:t>GB 6675.3</w:t>
      </w:r>
      <w:r>
        <w:rPr>
          <w:rFonts w:hint="eastAsia"/>
          <w:highlight w:val="none"/>
          <w:lang w:val="en-US" w:eastAsia="zh-CN"/>
        </w:rPr>
        <w:t>-2025</w:t>
      </w:r>
      <w:r>
        <w:rPr>
          <w:rFonts w:hint="eastAsia"/>
          <w:highlight w:val="none"/>
        </w:rPr>
        <w:t xml:space="preserve"> 玩具安全 第3部分：易燃性能</w:t>
      </w:r>
    </w:p>
    <w:p w14:paraId="0280445B">
      <w:pPr>
        <w:pStyle w:val="235"/>
        <w:rPr>
          <w:highlight w:val="none"/>
        </w:rPr>
      </w:pPr>
      <w:r>
        <w:rPr>
          <w:highlight w:val="none"/>
        </w:rPr>
        <w:t>GB 17927-2024</w:t>
      </w:r>
      <w:r>
        <w:rPr>
          <w:rFonts w:hint="eastAsia"/>
          <w:highlight w:val="none"/>
        </w:rPr>
        <w:t xml:space="preserve"> 家具阻燃性能安全技术规范</w:t>
      </w:r>
    </w:p>
    <w:p w14:paraId="0DCAFFF9">
      <w:pPr>
        <w:pStyle w:val="235"/>
      </w:pPr>
      <w:r>
        <w:rPr>
          <w:rFonts w:hint="eastAsia"/>
        </w:rPr>
        <w:t>GB 18584-2024 家具中有害物质限量</w:t>
      </w:r>
    </w:p>
    <w:p w14:paraId="3FCAADAE">
      <w:pPr>
        <w:pStyle w:val="235"/>
      </w:pPr>
      <w:r>
        <w:rPr>
          <w:rFonts w:hint="eastAsia"/>
        </w:rPr>
        <w:t>GB 28007-2024 婴幼儿及儿童家具安全技术规范</w:t>
      </w:r>
    </w:p>
    <w:p w14:paraId="5D75BBDC">
      <w:pPr>
        <w:pStyle w:val="235"/>
      </w:pPr>
      <w:r>
        <w:rPr>
          <w:rFonts w:hint="eastAsia"/>
        </w:rPr>
        <w:t>GB 28008-2024 家具结构安全技术规范</w:t>
      </w:r>
    </w:p>
    <w:p w14:paraId="08B4C3FD">
      <w:pPr>
        <w:pStyle w:val="235"/>
      </w:pPr>
      <w:r>
        <w:t>GB/T 28202-2020</w:t>
      </w:r>
      <w:r>
        <w:rPr>
          <w:rFonts w:hint="eastAsia"/>
        </w:rPr>
        <w:t xml:space="preserve"> 家具工业术语</w:t>
      </w:r>
    </w:p>
    <w:p w14:paraId="19CF64F4">
      <w:pPr>
        <w:pStyle w:val="235"/>
      </w:pPr>
      <w:r>
        <w:rPr>
          <w:rFonts w:hint="eastAsia"/>
        </w:rPr>
        <w:t>GB/T 39016-2020 定制家具 通用设计规范</w:t>
      </w:r>
    </w:p>
    <w:p w14:paraId="4460A647">
      <w:pPr>
        <w:pStyle w:val="235"/>
      </w:pPr>
      <w:r>
        <w:rPr>
          <w:rFonts w:hint="eastAsia"/>
        </w:rPr>
        <w:t>GB/T 43003-2023 定制家具 安装验收规范</w:t>
      </w:r>
    </w:p>
    <w:p w14:paraId="4AD7D021">
      <w:pPr>
        <w:pStyle w:val="235"/>
      </w:pPr>
      <w:r>
        <w:rPr>
          <w:rFonts w:hint="eastAsia"/>
        </w:rPr>
        <w:t>GB/T 44437-2024 适老家具 通用技术要求</w:t>
      </w:r>
    </w:p>
    <w:p w14:paraId="54584FC3">
      <w:pPr>
        <w:pStyle w:val="109"/>
        <w:spacing w:before="312" w:after="312"/>
      </w:pPr>
      <w:bookmarkStart w:id="107" w:name="_Toc192176515"/>
      <w:bookmarkStart w:id="108" w:name="_Toc97191425"/>
      <w:bookmarkStart w:id="109" w:name="_Toc199509041"/>
      <w:bookmarkStart w:id="110" w:name="_Toc192176463"/>
      <w:bookmarkStart w:id="111" w:name="_Toc208995853"/>
      <w:bookmarkStart w:id="112" w:name="_Toc128990071"/>
      <w:bookmarkStart w:id="113" w:name="_Toc199149024"/>
      <w:bookmarkStart w:id="114" w:name="_Toc129685311"/>
      <w:bookmarkStart w:id="115" w:name="_Toc199512860"/>
      <w:bookmarkStart w:id="116" w:name="_Toc193965942"/>
      <w:bookmarkStart w:id="117" w:name="_Toc199509108"/>
      <w:bookmarkStart w:id="118" w:name="_Toc199149051"/>
      <w:bookmarkStart w:id="119" w:name="_Toc128993076"/>
      <w:bookmarkStart w:id="120" w:name="_Toc128995425"/>
      <w:bookmarkStart w:id="121" w:name="_Toc195520608"/>
      <w:bookmarkStart w:id="122" w:name="_Toc199509061"/>
      <w:bookmarkStart w:id="123" w:name="_Toc128993112"/>
      <w:bookmarkStart w:id="124" w:name="_Toc196736218"/>
      <w:bookmarkStart w:id="125" w:name="_Toc196736197"/>
      <w:bookmarkStart w:id="126" w:name="_Toc208995877"/>
      <w:bookmarkStart w:id="127" w:name="_Toc212553731"/>
      <w:bookmarkStart w:id="128" w:name="_Toc199945468"/>
      <w:r>
        <w:rPr>
          <w:rFonts w:hint="eastAsia"/>
          <w:szCs w:val="21"/>
        </w:rPr>
        <w:t>术语和定义</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sdt>
      <w:sdtPr>
        <w:id w:val="-1909835108"/>
        <w:placeholder>
          <w:docPart w:val="D1BAE055975A4EEF9867C9F2A8F06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AF8DA82">
          <w:pPr>
            <w:pStyle w:val="61"/>
            <w:ind w:firstLine="420"/>
          </w:pPr>
          <w:bookmarkStart w:id="129" w:name="_Toc26986532"/>
          <w:bookmarkEnd w:id="129"/>
          <w:r>
            <w:rPr>
              <w:rFonts w:hint="eastAsia"/>
            </w:rPr>
            <w:t xml:space="preserve">GB/T 28202-2020 </w:t>
          </w:r>
          <w:r>
            <w:t>界定的以及下列术语和定义适用于本文件。</w:t>
          </w:r>
        </w:p>
      </w:sdtContent>
    </w:sdt>
    <w:p w14:paraId="17E391EF">
      <w:pPr>
        <w:pStyle w:val="110"/>
        <w:spacing w:before="156" w:after="156"/>
      </w:pPr>
    </w:p>
    <w:p w14:paraId="10623619">
      <w:pPr>
        <w:pStyle w:val="110"/>
        <w:numPr>
          <w:ilvl w:val="0"/>
          <w:numId w:val="0"/>
        </w:numPr>
        <w:spacing w:before="156" w:after="156"/>
        <w:ind w:firstLine="420" w:firstLineChars="200"/>
        <w:rPr>
          <w:highlight w:val="none"/>
        </w:rPr>
      </w:pPr>
      <w:r>
        <w:rPr>
          <w:rFonts w:hint="eastAsia"/>
          <w:highlight w:val="none"/>
        </w:rPr>
        <w:t>非移动类定制家具 n</w:t>
      </w:r>
      <w:r>
        <w:rPr>
          <w:highlight w:val="none"/>
        </w:rPr>
        <w:t>on-</w:t>
      </w:r>
      <w:r>
        <w:rPr>
          <w:rFonts w:hint="eastAsia"/>
          <w:highlight w:val="none"/>
        </w:rPr>
        <w:t>mobile</w:t>
      </w:r>
      <w:r>
        <w:rPr>
          <w:highlight w:val="none"/>
        </w:rPr>
        <w:t xml:space="preserve"> custom furniture</w:t>
      </w:r>
    </w:p>
    <w:p w14:paraId="22C2205F">
      <w:pPr>
        <w:pStyle w:val="61"/>
        <w:ind w:firstLine="420"/>
        <w:rPr>
          <w:highlight w:val="none"/>
        </w:rPr>
      </w:pPr>
      <w:r>
        <w:rPr>
          <w:rFonts w:hint="eastAsia"/>
          <w:highlight w:val="none"/>
        </w:rPr>
        <w:t>根据客户的个性化需求进行测量、设计、制造、安装和服务的，嵌入或紧固于建筑物 (如地板、天花板或墙上)且不可更换位置的家具。</w:t>
      </w:r>
    </w:p>
    <w:p w14:paraId="0C609456">
      <w:pPr>
        <w:pStyle w:val="184"/>
        <w:rPr>
          <w:highlight w:val="none"/>
        </w:rPr>
      </w:pPr>
      <w:r>
        <w:rPr>
          <w:rFonts w:hint="eastAsia"/>
          <w:highlight w:val="none"/>
        </w:rPr>
        <w:t>非移动类家具指符合GB/T 28202-2020中2.48 “嵌固式/固定式家具”定义的产品。</w:t>
      </w:r>
    </w:p>
    <w:p w14:paraId="70276714">
      <w:pPr>
        <w:pStyle w:val="228"/>
        <w:ind w:left="420" w:hanging="420" w:hangingChars="200"/>
        <w:rPr>
          <w:rFonts w:hint="eastAsia"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特殊场景 special s</w:t>
      </w:r>
      <w:r>
        <w:rPr>
          <w:rFonts w:ascii="黑体" w:hAnsi="黑体" w:eastAsia="黑体"/>
          <w:highlight w:val="none"/>
        </w:rPr>
        <w:t>cenario</w:t>
      </w:r>
    </w:p>
    <w:p w14:paraId="32AA612E">
      <w:pPr>
        <w:pStyle w:val="61"/>
        <w:ind w:firstLine="420"/>
        <w:rPr>
          <w:highlight w:val="none"/>
        </w:rPr>
      </w:pPr>
      <w:r>
        <w:rPr>
          <w:rFonts w:hint="eastAsia"/>
          <w:highlight w:val="none"/>
        </w:rPr>
        <w:t>设计或预定供婴幼儿及儿童、老年人、失能人群等生理特征、身体条件或使用需求与常规要求存在显著差异，需要特别考量的特殊群体使用的场所或空间。</w:t>
      </w:r>
    </w:p>
    <w:p w14:paraId="4D5EDF60">
      <w:pPr>
        <w:pStyle w:val="228"/>
        <w:ind w:left="420" w:hanging="420" w:hangingChars="200"/>
        <w:rPr>
          <w:rFonts w:hint="eastAsia" w:ascii="黑体" w:hAnsi="黑体" w:eastAsia="黑体"/>
        </w:rPr>
      </w:pPr>
      <w:r>
        <w:rPr>
          <w:rFonts w:hint="eastAsia" w:ascii="黑体" w:hAnsi="黑体" w:eastAsia="黑体"/>
        </w:rPr>
        <w:t>通用场景 g</w:t>
      </w:r>
      <w:r>
        <w:rPr>
          <w:rFonts w:ascii="黑体" w:hAnsi="黑体" w:eastAsia="黑体"/>
        </w:rPr>
        <w:t xml:space="preserve">eneral </w:t>
      </w:r>
      <w:r>
        <w:rPr>
          <w:rFonts w:hint="eastAsia" w:ascii="黑体" w:hAnsi="黑体" w:eastAsia="黑体"/>
        </w:rPr>
        <w:t>s</w:t>
      </w:r>
      <w:r>
        <w:rPr>
          <w:rFonts w:ascii="黑体" w:hAnsi="黑体" w:eastAsia="黑体"/>
        </w:rPr>
        <w:t>cenario</w:t>
      </w:r>
    </w:p>
    <w:p w14:paraId="4BAC5285">
      <w:pPr>
        <w:pStyle w:val="61"/>
        <w:ind w:firstLine="420"/>
      </w:pPr>
      <w:r>
        <w:rPr>
          <w:rFonts w:hint="eastAsia"/>
        </w:rPr>
        <w:t>设计或预定供婴幼儿及儿童、老年人、失能人群等特殊群体外，普通群体使用的场所或空间。</w:t>
      </w:r>
    </w:p>
    <w:p w14:paraId="2CE6A0B1">
      <w:pPr>
        <w:pStyle w:val="109"/>
        <w:spacing w:before="312" w:after="312"/>
      </w:pPr>
      <w:bookmarkStart w:id="130" w:name="_Toc199149052"/>
      <w:bookmarkStart w:id="131" w:name="_Toc208995878"/>
      <w:bookmarkStart w:id="132" w:name="_Toc192176516"/>
      <w:bookmarkStart w:id="133" w:name="_Toc199512861"/>
      <w:bookmarkStart w:id="134" w:name="_Toc208995854"/>
      <w:bookmarkStart w:id="135" w:name="_Toc192176464"/>
      <w:bookmarkStart w:id="136" w:name="_Toc199945469"/>
      <w:bookmarkStart w:id="137" w:name="_Toc193965943"/>
      <w:bookmarkStart w:id="138" w:name="_Toc195520609"/>
      <w:bookmarkStart w:id="139" w:name="_Toc199149025"/>
      <w:bookmarkStart w:id="140" w:name="_Toc196736219"/>
      <w:bookmarkStart w:id="141" w:name="_Toc199509042"/>
      <w:bookmarkStart w:id="142" w:name="_Toc196736198"/>
      <w:bookmarkStart w:id="143" w:name="_Toc199509109"/>
      <w:bookmarkStart w:id="144" w:name="_Toc212553732"/>
      <w:bookmarkStart w:id="145" w:name="_Toc199509062"/>
      <w:r>
        <w:rPr>
          <w:rFonts w:hint="eastAsia"/>
        </w:rPr>
        <w:t>总体要求</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6AF811E">
      <w:pPr>
        <w:pStyle w:val="167"/>
      </w:pPr>
      <w:r>
        <w:rPr>
          <w:rFonts w:hint="eastAsia"/>
        </w:rPr>
        <w:t>安全保障方面：应保障产品安全性，涉及水、电、气及光纤网络等特殊应用功能时，在结构设计、材料选择、安装要求上应符合国家相关标准，避免对用户造成伤害。</w:t>
      </w:r>
    </w:p>
    <w:p w14:paraId="35F91512">
      <w:pPr>
        <w:pStyle w:val="167"/>
      </w:pPr>
      <w:r>
        <w:rPr>
          <w:rFonts w:hint="eastAsia"/>
        </w:rPr>
        <w:t>场景适配方面：明确通用场景和特殊场景的安全需求，确保产品设计与使用人群和使用环境等相匹配。</w:t>
      </w:r>
    </w:p>
    <w:p w14:paraId="2FAA1DB8">
      <w:pPr>
        <w:pStyle w:val="167"/>
        <w:rPr>
          <w:highlight w:val="none"/>
        </w:rPr>
      </w:pPr>
      <w:r>
        <w:rPr>
          <w:rFonts w:hint="eastAsia"/>
        </w:rPr>
        <w:t>风险管控方</w:t>
      </w:r>
      <w:r>
        <w:rPr>
          <w:rFonts w:hint="eastAsia"/>
          <w:highlight w:val="none"/>
        </w:rPr>
        <w:t>面：设计、生产、安装、验收等环节应实施全流程的质量安全风险控制。</w:t>
      </w:r>
    </w:p>
    <w:p w14:paraId="2C42EEF1">
      <w:pPr>
        <w:pStyle w:val="109"/>
        <w:spacing w:before="312" w:after="312"/>
        <w:rPr>
          <w:highlight w:val="none"/>
        </w:rPr>
      </w:pPr>
      <w:bookmarkStart w:id="146" w:name="_Toc208995879"/>
      <w:bookmarkStart w:id="147" w:name="_Toc199509110"/>
      <w:bookmarkStart w:id="148" w:name="_Toc199512862"/>
      <w:bookmarkStart w:id="149" w:name="_Toc199149026"/>
      <w:bookmarkStart w:id="150" w:name="_Toc208995855"/>
      <w:bookmarkStart w:id="151" w:name="_Toc212553733"/>
      <w:bookmarkStart w:id="152" w:name="_Toc199509063"/>
      <w:bookmarkStart w:id="153" w:name="_Toc199149053"/>
      <w:bookmarkStart w:id="154" w:name="_Toc199509043"/>
      <w:bookmarkStart w:id="155" w:name="_Toc199945470"/>
      <w:bookmarkStart w:id="156" w:name="_Toc196736199"/>
      <w:bookmarkStart w:id="157" w:name="_Toc196736220"/>
      <w:bookmarkStart w:id="158" w:name="_Toc28227"/>
      <w:bookmarkStart w:id="159" w:name="_Toc128993114"/>
      <w:bookmarkStart w:id="160" w:name="_Toc128993078"/>
      <w:bookmarkStart w:id="161" w:name="_Toc128990073"/>
      <w:r>
        <w:rPr>
          <w:rFonts w:hint="eastAsia"/>
          <w:highlight w:val="none"/>
        </w:rPr>
        <w:t>设计</w:t>
      </w:r>
      <w:bookmarkEnd w:id="146"/>
      <w:bookmarkEnd w:id="147"/>
      <w:bookmarkEnd w:id="148"/>
      <w:bookmarkEnd w:id="149"/>
      <w:bookmarkEnd w:id="150"/>
      <w:bookmarkEnd w:id="151"/>
      <w:bookmarkEnd w:id="152"/>
      <w:bookmarkEnd w:id="153"/>
      <w:bookmarkEnd w:id="154"/>
      <w:bookmarkEnd w:id="155"/>
    </w:p>
    <w:p w14:paraId="1ED557E3">
      <w:pPr>
        <w:pStyle w:val="110"/>
        <w:spacing w:before="156" w:after="156"/>
        <w:rPr>
          <w:highlight w:val="none"/>
        </w:rPr>
      </w:pPr>
      <w:bookmarkStart w:id="162" w:name="_Toc208995856"/>
      <w:r>
        <w:rPr>
          <w:rFonts w:hint="eastAsia"/>
          <w:highlight w:val="none"/>
        </w:rPr>
        <w:t>原则</w:t>
      </w:r>
      <w:bookmarkEnd w:id="162"/>
    </w:p>
    <w:p w14:paraId="79996C1D">
      <w:pPr>
        <w:pStyle w:val="170"/>
        <w:rPr>
          <w:highlight w:val="none"/>
        </w:rPr>
      </w:pPr>
      <w:r>
        <w:rPr>
          <w:rFonts w:hint="eastAsia"/>
          <w:highlight w:val="none"/>
        </w:rPr>
        <w:t>家具定制应根据使用环境、空间大小、环保要求、人员、客户要求的场景类别等信息，考虑家具组合后的相关环保指标数值以及使用时的人体活动空间、心理空间等因素，综合确定房间内各类家具的组合方式、外形尺寸以及使用材料的等级要求。</w:t>
      </w:r>
    </w:p>
    <w:p w14:paraId="0DD58DC6">
      <w:pPr>
        <w:pStyle w:val="170"/>
        <w:rPr>
          <w:highlight w:val="none"/>
        </w:rPr>
      </w:pPr>
      <w:r>
        <w:rPr>
          <w:rFonts w:hint="eastAsia"/>
          <w:highlight w:val="none"/>
        </w:rPr>
        <w:t>对于使用场景中多成员、多功能且空间共享的家具需求，应充分考虑家庭成员结构、年龄差异及生活习惯，满足个性化使用需求，同时兼顾公共区域的灵活性与安全性（包括紧急情况下的快速通行）。</w:t>
      </w:r>
    </w:p>
    <w:p w14:paraId="54AC9482">
      <w:pPr>
        <w:pStyle w:val="170"/>
      </w:pPr>
      <w:r>
        <w:rPr>
          <w:rFonts w:hint="eastAsia"/>
          <w:highlight w:val="none"/>
        </w:rPr>
        <w:t>老年人及失能人群房间家具具备</w:t>
      </w:r>
      <w:r>
        <w:rPr>
          <w:rFonts w:hint="eastAsia"/>
        </w:rPr>
        <w:t>智能语音交互功能的，应设置其他可替代的同等调节方式以保证智能失效时家具功能的正常运行。</w:t>
      </w:r>
    </w:p>
    <w:bookmarkEnd w:id="156"/>
    <w:bookmarkEnd w:id="157"/>
    <w:p w14:paraId="7BCA262D">
      <w:pPr>
        <w:pStyle w:val="110"/>
        <w:spacing w:before="156" w:after="156"/>
      </w:pPr>
      <w:bookmarkStart w:id="163" w:name="_Toc199149027"/>
      <w:bookmarkStart w:id="164" w:name="_Toc199509044"/>
      <w:bookmarkStart w:id="165" w:name="_Toc208995857"/>
      <w:r>
        <w:rPr>
          <w:rFonts w:hint="eastAsia"/>
        </w:rPr>
        <w:t>测量与</w:t>
      </w:r>
      <w:bookmarkEnd w:id="163"/>
      <w:bookmarkEnd w:id="164"/>
      <w:r>
        <w:rPr>
          <w:rFonts w:hint="eastAsia"/>
        </w:rPr>
        <w:t>尺寸</w:t>
      </w:r>
      <w:bookmarkEnd w:id="165"/>
    </w:p>
    <w:p w14:paraId="15277C38">
      <w:pPr>
        <w:pStyle w:val="70"/>
        <w:spacing w:before="156" w:after="156"/>
      </w:pPr>
      <w:r>
        <w:rPr>
          <w:rFonts w:hint="eastAsia"/>
        </w:rPr>
        <w:t>通用场景</w:t>
      </w:r>
    </w:p>
    <w:p w14:paraId="26D52B2A">
      <w:pPr>
        <w:pStyle w:val="169"/>
        <w:rPr>
          <w:highlight w:val="none"/>
        </w:rPr>
      </w:pPr>
      <w:r>
        <w:rPr>
          <w:rFonts w:hint="eastAsia"/>
          <w:highlight w:val="none"/>
        </w:rPr>
        <w:t>设计前，应评估墙面和地面的承重能力，使用专业测量工具对墙面和地面的平整度、空间高度限制等安装环境进行现场测量，确保符合安装要求。</w:t>
      </w:r>
    </w:p>
    <w:p w14:paraId="5AE5B449">
      <w:pPr>
        <w:pStyle w:val="169"/>
        <w:rPr>
          <w:highlight w:val="none"/>
        </w:rPr>
      </w:pPr>
      <w:r>
        <w:rPr>
          <w:rFonts w:hint="eastAsia"/>
          <w:highlight w:val="none"/>
        </w:rPr>
        <w:t>完成现场测量后，应记录尺寸、角度、空间限制等测量数据，对于墙体不平等设计时无法规避的问题可能导致后续产品使用功能不良的情况应告知客户。</w:t>
      </w:r>
    </w:p>
    <w:p w14:paraId="3942400B">
      <w:pPr>
        <w:pStyle w:val="169"/>
        <w:rPr>
          <w:highlight w:val="none"/>
        </w:rPr>
      </w:pPr>
      <w:r>
        <w:rPr>
          <w:rFonts w:hint="eastAsia"/>
          <w:highlight w:val="none"/>
        </w:rPr>
        <w:t>家具功能尺寸设计时，应依据使用者的身高、年龄、每天使用时间长短及使用方式等关键因素，以预防使用伤害、确保操作安全为前提，严格符合人体工程学的安全规范要求。</w:t>
      </w:r>
    </w:p>
    <w:p w14:paraId="3D9FB293">
      <w:pPr>
        <w:pStyle w:val="184"/>
        <w:rPr>
          <w:highlight w:val="none"/>
        </w:rPr>
      </w:pPr>
      <w:r>
        <w:rPr>
          <w:rFonts w:hint="eastAsia"/>
          <w:highlight w:val="none"/>
        </w:rPr>
        <w:t>使用方式指站立使用或坐姿使用等。</w:t>
      </w:r>
    </w:p>
    <w:p w14:paraId="32927D4E">
      <w:pPr>
        <w:pStyle w:val="169"/>
        <w:rPr>
          <w:highlight w:val="none"/>
        </w:rPr>
      </w:pPr>
      <w:r>
        <w:rPr>
          <w:rFonts w:hint="eastAsia"/>
          <w:highlight w:val="none"/>
        </w:rPr>
        <w:t>家具的尺寸设计、家具电器使用位置设计和水、电、气及光纤网络布局设计应分别符合GB/T 39016-2020 中4.5、4.7、4.8的要求。</w:t>
      </w:r>
    </w:p>
    <w:p w14:paraId="38DDF340">
      <w:pPr>
        <w:pStyle w:val="70"/>
        <w:spacing w:before="156" w:after="156"/>
        <w:rPr>
          <w:highlight w:val="none"/>
        </w:rPr>
      </w:pPr>
      <w:r>
        <w:rPr>
          <w:rFonts w:hint="eastAsia"/>
          <w:highlight w:val="none"/>
        </w:rPr>
        <w:t>特殊场景</w:t>
      </w:r>
    </w:p>
    <w:p w14:paraId="35C9B6E4">
      <w:pPr>
        <w:pStyle w:val="169"/>
        <w:rPr>
          <w:highlight w:val="none"/>
        </w:rPr>
      </w:pPr>
      <w:r>
        <w:rPr>
          <w:rFonts w:hint="eastAsia"/>
          <w:highlight w:val="none"/>
        </w:rPr>
        <w:t>应根据应用场景测量婴幼儿及儿童房的特殊限制、老年人及失能人群房间的无障碍通道宽度等关键安全参数，确保满足安全需求。</w:t>
      </w:r>
    </w:p>
    <w:p w14:paraId="167A1E19">
      <w:pPr>
        <w:pStyle w:val="169"/>
        <w:rPr>
          <w:highlight w:val="none"/>
        </w:rPr>
      </w:pPr>
      <w:r>
        <w:rPr>
          <w:rFonts w:hint="eastAsia"/>
          <w:highlight w:val="none"/>
        </w:rPr>
        <w:t>家具功能尺寸设计时，对于特殊群体，当基准功能尺寸无法满足安全需求时，应在基准功能尺寸基础上采用增减尺寸级差的方式确定满足安全需求的功能尺寸。</w:t>
      </w:r>
    </w:p>
    <w:p w14:paraId="65E173AE">
      <w:pPr>
        <w:pStyle w:val="169"/>
      </w:pPr>
      <w:r>
        <w:rPr>
          <w:rFonts w:hint="eastAsia"/>
          <w:highlight w:val="none"/>
        </w:rPr>
        <w:t>婴幼儿及儿童房间家具尺寸设计应考虑儿童成长适应性，如桌椅高度可</w:t>
      </w:r>
      <w:r>
        <w:rPr>
          <w:rFonts w:hint="eastAsia"/>
        </w:rPr>
        <w:t>调以适配不同年龄段。</w:t>
      </w:r>
    </w:p>
    <w:p w14:paraId="151FC8CF">
      <w:pPr>
        <w:pStyle w:val="110"/>
        <w:spacing w:before="156" w:after="156"/>
      </w:pPr>
      <w:bookmarkStart w:id="166" w:name="_Toc199509045"/>
      <w:bookmarkStart w:id="167" w:name="_Toc196736201"/>
      <w:bookmarkStart w:id="168" w:name="_Toc196736222"/>
      <w:bookmarkStart w:id="169" w:name="_Toc199149028"/>
      <w:bookmarkStart w:id="170" w:name="_Toc208995858"/>
      <w:r>
        <w:rPr>
          <w:rFonts w:hint="eastAsia"/>
        </w:rPr>
        <w:t>结构</w:t>
      </w:r>
      <w:bookmarkEnd w:id="166"/>
      <w:bookmarkEnd w:id="167"/>
      <w:bookmarkEnd w:id="168"/>
      <w:bookmarkEnd w:id="169"/>
      <w:bookmarkEnd w:id="170"/>
    </w:p>
    <w:p w14:paraId="7F676491">
      <w:pPr>
        <w:pStyle w:val="70"/>
        <w:spacing w:before="156" w:after="156"/>
      </w:pPr>
      <w:bookmarkStart w:id="171" w:name="_Toc196736202"/>
      <w:r>
        <w:rPr>
          <w:rFonts w:hint="eastAsia"/>
        </w:rPr>
        <w:t>通用场景</w:t>
      </w:r>
      <w:bookmarkEnd w:id="171"/>
    </w:p>
    <w:p w14:paraId="3C8A17CC">
      <w:pPr>
        <w:pStyle w:val="169"/>
      </w:pPr>
      <w:r>
        <w:rPr>
          <w:rFonts w:hint="eastAsia"/>
        </w:rPr>
        <w:t>应结合客户对定制产品的预期使用状态，充分考虑外形尺寸对家具强度及稳定性的影响，防止坍塌和倾翻。</w:t>
      </w:r>
    </w:p>
    <w:p w14:paraId="18BFB02C">
      <w:pPr>
        <w:pStyle w:val="169"/>
      </w:pPr>
      <w:r>
        <w:rPr>
          <w:rFonts w:hint="eastAsia"/>
        </w:rPr>
        <w:t>设计的家具产品应符合正常使用和可预见在理化性能、强度、稳定性和耐久性等方面的误使用。</w:t>
      </w:r>
    </w:p>
    <w:p w14:paraId="0CD65145">
      <w:pPr>
        <w:pStyle w:val="169"/>
      </w:pPr>
      <w:r>
        <w:rPr>
          <w:rFonts w:hint="eastAsia"/>
        </w:rPr>
        <w:t>结构设计应确保使用者的安全，满足以下要求：</w:t>
      </w:r>
    </w:p>
    <w:p w14:paraId="14F869E8">
      <w:pPr>
        <w:pStyle w:val="179"/>
      </w:pPr>
      <w:r>
        <w:rPr>
          <w:rFonts w:hint="eastAsia"/>
        </w:rPr>
        <w:t>正常使用时，可接触到的边、角都应进行倒圆、倒角、砂光或以其他合适的方式进行保护。倒圆半径应不小于 0.5 mm。其他部件表面应无锐边、锐角；</w:t>
      </w:r>
    </w:p>
    <w:p w14:paraId="1903B8B5">
      <w:pPr>
        <w:pStyle w:val="185"/>
        <w:numPr>
          <w:ilvl w:val="0"/>
          <w:numId w:val="36"/>
        </w:numPr>
      </w:pPr>
      <w:r>
        <w:rPr>
          <w:rFonts w:hint="eastAsia"/>
        </w:rPr>
        <w:t>座面边缘以及从任意其他边缘（椅背，扶手和座椅下表面）向内 120 mm以内的地方通常被认为是手指容易接触到的地方。</w:t>
      </w:r>
    </w:p>
    <w:p w14:paraId="3ED1BFE9">
      <w:pPr>
        <w:pStyle w:val="185"/>
        <w:numPr>
          <w:ilvl w:val="0"/>
          <w:numId w:val="36"/>
        </w:numPr>
      </w:pPr>
      <w:r>
        <w:rPr>
          <w:rFonts w:hint="eastAsia"/>
        </w:rPr>
        <w:t>桌面、桌面底部与桌面下方的任意边缘距离小于 500 mm 的任何部位通常会被膝盖和（或）手臂接触到。</w:t>
      </w:r>
    </w:p>
    <w:p w14:paraId="0FBC246A">
      <w:pPr>
        <w:pStyle w:val="179"/>
      </w:pPr>
      <w:r>
        <w:rPr>
          <w:rFonts w:hint="eastAsia"/>
        </w:rPr>
        <w:t>固定零部件的结合应牢固无松动，应无少件、透钉、漏钉；</w:t>
      </w:r>
    </w:p>
    <w:p w14:paraId="3FCDB705">
      <w:pPr>
        <w:pStyle w:val="179"/>
      </w:pPr>
      <w:r>
        <w:rPr>
          <w:rFonts w:hint="eastAsia"/>
        </w:rPr>
        <w:t>在高于闭合点 50 mm 的任意位置，垂直活动的部件不应自行移动；</w:t>
      </w:r>
    </w:p>
    <w:p w14:paraId="51F323B7">
      <w:pPr>
        <w:pStyle w:val="179"/>
      </w:pPr>
      <w:r>
        <w:rPr>
          <w:rFonts w:hint="eastAsia"/>
        </w:rPr>
        <w:t>抽屉、键盘、拉篮等推拉构件应有防脱落装置；</w:t>
      </w:r>
    </w:p>
    <w:p w14:paraId="77AE08B5">
      <w:pPr>
        <w:pStyle w:val="179"/>
      </w:pPr>
      <w:r>
        <w:rPr>
          <w:rFonts w:hint="eastAsia"/>
        </w:rPr>
        <w:t>按产品标准进行稳定性试验时，不应发生倾翻；</w:t>
      </w:r>
    </w:p>
    <w:p w14:paraId="6A90F0CD">
      <w:pPr>
        <w:pStyle w:val="179"/>
        <w:rPr>
          <w:highlight w:val="none"/>
        </w:rPr>
      </w:pPr>
      <w:r>
        <w:rPr>
          <w:rFonts w:hint="eastAsia"/>
          <w:highlight w:val="none"/>
        </w:rPr>
        <w:t>剪切和挤压点应符合GB 28008-2024中4.1.2的要求；</w:t>
      </w:r>
    </w:p>
    <w:p w14:paraId="5572DBC9">
      <w:pPr>
        <w:pStyle w:val="179"/>
        <w:rPr>
          <w:highlight w:val="none"/>
        </w:rPr>
      </w:pPr>
      <w:r>
        <w:rPr>
          <w:rFonts w:hint="eastAsia"/>
          <w:highlight w:val="none"/>
        </w:rPr>
        <w:t>可触及区域的孔和间隙应符合GB 28008-2024中4.1.3的要求。</w:t>
      </w:r>
    </w:p>
    <w:p w14:paraId="32669CC4">
      <w:pPr>
        <w:pStyle w:val="184"/>
        <w:numPr>
          <w:ilvl w:val="0"/>
          <w:numId w:val="0"/>
        </w:numPr>
        <w:ind w:left="737"/>
        <w:rPr>
          <w:highlight w:val="none"/>
        </w:rPr>
      </w:pPr>
      <w:r>
        <w:rPr>
          <w:rFonts w:hint="eastAsia" w:ascii="黑体" w:hAnsi="黑体" w:eastAsia="黑体"/>
          <w:highlight w:val="none"/>
        </w:rPr>
        <w:t>注：</w:t>
      </w:r>
      <w:r>
        <w:rPr>
          <w:rFonts w:hint="eastAsia"/>
          <w:highlight w:val="none"/>
        </w:rPr>
        <w:t>可触及区域是指在正常使用情况下，使用者在产品功能位置上，其肢体能接触到的部位；以及使用者通过改变自身位置或者改变产品位置，其肢体能接触到的部位。</w:t>
      </w:r>
    </w:p>
    <w:p w14:paraId="2598D084">
      <w:pPr>
        <w:pStyle w:val="169"/>
        <w:rPr>
          <w:highlight w:val="none"/>
        </w:rPr>
      </w:pPr>
      <w:r>
        <w:rPr>
          <w:rFonts w:hint="eastAsia"/>
          <w:highlight w:val="none"/>
        </w:rPr>
        <w:t>折叠翻靠床、卫浴家具等特定家具产品结构安全应符合GB 28008-2024中4.2的要求。</w:t>
      </w:r>
    </w:p>
    <w:p w14:paraId="72840C1A">
      <w:pPr>
        <w:pStyle w:val="70"/>
        <w:spacing w:before="156" w:after="156"/>
        <w:rPr>
          <w:highlight w:val="none"/>
        </w:rPr>
      </w:pPr>
      <w:bookmarkStart w:id="172" w:name="_Toc196736203"/>
      <w:r>
        <w:rPr>
          <w:rFonts w:hint="eastAsia"/>
          <w:highlight w:val="none"/>
        </w:rPr>
        <w:t>特殊场景</w:t>
      </w:r>
      <w:bookmarkEnd w:id="172"/>
    </w:p>
    <w:p w14:paraId="4ED12B78">
      <w:pPr>
        <w:pStyle w:val="169"/>
        <w:rPr>
          <w:highlight w:val="none"/>
        </w:rPr>
      </w:pPr>
      <w:r>
        <w:rPr>
          <w:rFonts w:hint="eastAsia"/>
          <w:highlight w:val="none"/>
        </w:rPr>
        <w:t>婴幼儿及儿童房家具结构设计除符合5.3.1外，还应满足以下要求：</w:t>
      </w:r>
    </w:p>
    <w:p w14:paraId="497D7555">
      <w:pPr>
        <w:pStyle w:val="179"/>
        <w:numPr>
          <w:ilvl w:val="0"/>
          <w:numId w:val="37"/>
        </w:numPr>
        <w:rPr>
          <w:highlight w:val="none"/>
        </w:rPr>
      </w:pPr>
      <w:r>
        <w:rPr>
          <w:rFonts w:hint="eastAsia"/>
          <w:highlight w:val="none"/>
        </w:rPr>
        <w:t>婴幼儿家具中可移除或可拧松部件的连接，不应使用直接紧固的连接螺钉，如自攻螺钉等；</w:t>
      </w:r>
      <w:r>
        <w:rPr>
          <w:highlight w:val="none"/>
        </w:rPr>
        <w:t xml:space="preserve"> </w:t>
      </w:r>
    </w:p>
    <w:p w14:paraId="6D0B1671">
      <w:pPr>
        <w:pStyle w:val="184"/>
        <w:numPr>
          <w:ilvl w:val="0"/>
          <w:numId w:val="0"/>
        </w:numPr>
        <w:ind w:left="737"/>
        <w:rPr>
          <w:highlight w:val="none"/>
        </w:rPr>
      </w:pPr>
      <w:r>
        <w:rPr>
          <w:rFonts w:hint="eastAsia" w:ascii="黑体" w:hAnsi="黑体" w:eastAsia="黑体"/>
          <w:highlight w:val="none"/>
        </w:rPr>
        <w:t>注：</w:t>
      </w:r>
      <w:r>
        <w:rPr>
          <w:rFonts w:hint="eastAsia"/>
          <w:highlight w:val="none"/>
        </w:rPr>
        <w:t>自攻螺钉包括木螺钉、刨花板螺钉等。</w:t>
      </w:r>
    </w:p>
    <w:p w14:paraId="5D68E1B6">
      <w:pPr>
        <w:pStyle w:val="179"/>
        <w:rPr>
          <w:highlight w:val="none"/>
        </w:rPr>
      </w:pPr>
      <w:r>
        <w:rPr>
          <w:rFonts w:hint="eastAsia"/>
          <w:highlight w:val="none"/>
        </w:rPr>
        <w:t>产品不应有未加保护帽、罩的危险突出物。危险突出物的保护帽、罩，在最易被拉脱的方向上，5 s内均匀施加 70 N±2 N 的拉力,保持10 s 的情况下不应被拉脱；</w:t>
      </w:r>
    </w:p>
    <w:p w14:paraId="1BA7FC47">
      <w:pPr>
        <w:pStyle w:val="179"/>
        <w:rPr>
          <w:highlight w:val="none"/>
        </w:rPr>
      </w:pPr>
      <w:r>
        <w:rPr>
          <w:rFonts w:hint="eastAsia"/>
          <w:highlight w:val="none"/>
        </w:rPr>
        <w:t>产品可触及区域边缘、尖端及外角应符合GB 28007-2024中4.2.2的要求；</w:t>
      </w:r>
    </w:p>
    <w:p w14:paraId="1685FE9F">
      <w:pPr>
        <w:pStyle w:val="179"/>
        <w:rPr>
          <w:highlight w:val="none"/>
        </w:rPr>
      </w:pPr>
      <w:r>
        <w:rPr>
          <w:rFonts w:hint="eastAsia"/>
          <w:highlight w:val="none"/>
        </w:rPr>
        <w:t>可触及区域的孔、间隙及开口应符合GB 28007-2024中4.2.4的要求；</w:t>
      </w:r>
    </w:p>
    <w:p w14:paraId="2D85D089">
      <w:pPr>
        <w:pStyle w:val="179"/>
        <w:rPr>
          <w:highlight w:val="none"/>
        </w:rPr>
      </w:pPr>
      <w:r>
        <w:rPr>
          <w:rFonts w:hint="eastAsia"/>
          <w:highlight w:val="none"/>
        </w:rPr>
        <w:t>挤压和剪切应符合GB 28007-2024中4.2.5的要求；</w:t>
      </w:r>
    </w:p>
    <w:p w14:paraId="019DE925">
      <w:pPr>
        <w:pStyle w:val="179"/>
        <w:rPr>
          <w:highlight w:val="none"/>
        </w:rPr>
      </w:pPr>
      <w:r>
        <w:rPr>
          <w:rFonts w:hint="eastAsia"/>
          <w:highlight w:val="none"/>
        </w:rPr>
        <w:t>窒息危险结构应符合GB 28007-2024中4.2.6的要求；</w:t>
      </w:r>
    </w:p>
    <w:p w14:paraId="2205EDF6">
      <w:pPr>
        <w:pStyle w:val="179"/>
        <w:rPr>
          <w:highlight w:val="none"/>
        </w:rPr>
      </w:pPr>
      <w:r>
        <w:rPr>
          <w:rFonts w:hint="eastAsia"/>
          <w:highlight w:val="none"/>
        </w:rPr>
        <w:t>升降装置应符合GB 28007-2024中4.2.9的要求；</w:t>
      </w:r>
    </w:p>
    <w:p w14:paraId="5886AEB7">
      <w:pPr>
        <w:pStyle w:val="179"/>
        <w:rPr>
          <w:highlight w:val="none"/>
        </w:rPr>
      </w:pPr>
      <w:r>
        <w:rPr>
          <w:rFonts w:hint="eastAsia"/>
          <w:highlight w:val="none"/>
        </w:rPr>
        <w:t>距离地面高度和其他站立面高度 1 600 mm 以下的区域，不应使用玻璃部件。</w:t>
      </w:r>
    </w:p>
    <w:p w14:paraId="41E9783C">
      <w:pPr>
        <w:pStyle w:val="169"/>
      </w:pPr>
      <w:r>
        <w:rPr>
          <w:rFonts w:hint="eastAsia"/>
        </w:rPr>
        <w:t>婴幼儿及儿童房的双层床、童床、婴儿床等特定家具产品结构安全应符合GB 28007-2024中第5章的要求。</w:t>
      </w:r>
    </w:p>
    <w:p w14:paraId="34B67E8C">
      <w:pPr>
        <w:pStyle w:val="169"/>
      </w:pPr>
      <w:r>
        <w:rPr>
          <w:rFonts w:hint="eastAsia"/>
        </w:rPr>
        <w:t>老年人及失能人群房间家具结构设计除符合5.3.1外，还应满足以下要求：</w:t>
      </w:r>
    </w:p>
    <w:p w14:paraId="58219826">
      <w:pPr>
        <w:pStyle w:val="179"/>
        <w:numPr>
          <w:ilvl w:val="0"/>
          <w:numId w:val="38"/>
        </w:numPr>
      </w:pPr>
      <w:r>
        <w:rPr>
          <w:rFonts w:hint="eastAsia"/>
        </w:rPr>
        <w:t>家具中单独绳带，在其自由端施加 （25±1）N拉力，自由端至固定端的长度应小于或等于 300  mm；</w:t>
      </w:r>
    </w:p>
    <w:p w14:paraId="1BD6DB19">
      <w:pPr>
        <w:pStyle w:val="179"/>
        <w:numPr>
          <w:ilvl w:val="0"/>
          <w:numId w:val="38"/>
        </w:numPr>
      </w:pPr>
      <w:r>
        <w:rPr>
          <w:rFonts w:hint="eastAsia"/>
        </w:rPr>
        <w:t>产品不应使用用于攀爬的部件，如梯子、台阶等；</w:t>
      </w:r>
    </w:p>
    <w:p w14:paraId="1CA01A23">
      <w:pPr>
        <w:pStyle w:val="179"/>
        <w:numPr>
          <w:ilvl w:val="0"/>
          <w:numId w:val="38"/>
        </w:numPr>
        <w:rPr>
          <w:highlight w:val="none"/>
        </w:rPr>
      </w:pPr>
      <w:r>
        <w:rPr>
          <w:rFonts w:hint="eastAsia"/>
        </w:rPr>
        <w:t>组合柜类各结构单元</w:t>
      </w:r>
      <w:r>
        <w:rPr>
          <w:rFonts w:hint="eastAsia"/>
          <w:highlight w:val="none"/>
        </w:rPr>
        <w:t>之间应能互锁；</w:t>
      </w:r>
    </w:p>
    <w:p w14:paraId="45177234">
      <w:pPr>
        <w:pStyle w:val="179"/>
        <w:numPr>
          <w:ilvl w:val="0"/>
          <w:numId w:val="38"/>
        </w:numPr>
        <w:rPr>
          <w:highlight w:val="none"/>
        </w:rPr>
      </w:pPr>
      <w:r>
        <w:rPr>
          <w:rFonts w:hint="eastAsia"/>
          <w:highlight w:val="none"/>
        </w:rPr>
        <w:t>固定式座具上的软包靠背应可固定；</w:t>
      </w:r>
    </w:p>
    <w:p w14:paraId="2F85054A">
      <w:pPr>
        <w:pStyle w:val="179"/>
        <w:numPr>
          <w:ilvl w:val="0"/>
          <w:numId w:val="38"/>
        </w:numPr>
        <w:rPr>
          <w:highlight w:val="none"/>
        </w:rPr>
      </w:pPr>
      <w:r>
        <w:rPr>
          <w:rFonts w:hint="eastAsia"/>
          <w:highlight w:val="none"/>
        </w:rPr>
        <w:t>产品的可调节及活动部件应可锁定，如可调节的床护栏等；</w:t>
      </w:r>
    </w:p>
    <w:p w14:paraId="1D28BDE7">
      <w:pPr>
        <w:pStyle w:val="179"/>
        <w:numPr>
          <w:ilvl w:val="0"/>
          <w:numId w:val="38"/>
        </w:numPr>
        <w:rPr>
          <w:highlight w:val="none"/>
        </w:rPr>
      </w:pPr>
      <w:r>
        <w:rPr>
          <w:rFonts w:hint="eastAsia"/>
          <w:highlight w:val="none"/>
        </w:rPr>
        <w:t>产品不应有未加保护帽、罩的危险突出物。危险突出物的保护帽、罩，在最易被拉脱的方向上，5 s内均匀施加 70 N±2 N 的拉力,保持10 s 的情况下不应被拉脱。</w:t>
      </w:r>
    </w:p>
    <w:p w14:paraId="3F0A0E7A">
      <w:pPr>
        <w:pStyle w:val="179"/>
        <w:rPr>
          <w:highlight w:val="none"/>
        </w:rPr>
      </w:pPr>
      <w:r>
        <w:rPr>
          <w:rFonts w:hint="eastAsia"/>
          <w:highlight w:val="none"/>
        </w:rPr>
        <w:t>产品可触及区域内刚性部件上，孔及间隙应大于或等于 12 mm。同一方向上相邻阻挡部件的净空间隙应不大于 75 mm、不小于 60 mm；</w:t>
      </w:r>
    </w:p>
    <w:p w14:paraId="7FDA23B3">
      <w:pPr>
        <w:pStyle w:val="179"/>
        <w:rPr>
          <w:highlight w:val="none"/>
        </w:rPr>
      </w:pPr>
      <w:r>
        <w:rPr>
          <w:rFonts w:hint="eastAsia"/>
          <w:highlight w:val="none"/>
        </w:rPr>
        <w:t>边缘、尖端及外角应符合GB/T 44437-2024中5.7.1.2的要求；</w:t>
      </w:r>
      <w:r>
        <w:rPr>
          <w:highlight w:val="none"/>
        </w:rPr>
        <w:t xml:space="preserve"> </w:t>
      </w:r>
    </w:p>
    <w:p w14:paraId="6E9891DF">
      <w:pPr>
        <w:pStyle w:val="179"/>
        <w:rPr>
          <w:highlight w:val="none"/>
        </w:rPr>
      </w:pPr>
      <w:r>
        <w:rPr>
          <w:rFonts w:hint="eastAsia"/>
          <w:highlight w:val="none"/>
        </w:rPr>
        <w:t>助力装置、运行装置应符合GB/T 44437-2024中5.7.1.8的要求；</w:t>
      </w:r>
    </w:p>
    <w:p w14:paraId="6E20FDFD">
      <w:pPr>
        <w:pStyle w:val="179"/>
        <w:rPr>
          <w:highlight w:val="none"/>
        </w:rPr>
      </w:pPr>
      <w:r>
        <w:rPr>
          <w:rFonts w:hint="eastAsia"/>
          <w:highlight w:val="none"/>
        </w:rPr>
        <w:t>产品中垂直开启的翻门、翻板应符合GB/T 44437-2024中5.7.1.9的要求；</w:t>
      </w:r>
      <w:r>
        <w:rPr>
          <w:highlight w:val="none"/>
        </w:rPr>
        <w:t xml:space="preserve"> </w:t>
      </w:r>
      <w:bookmarkStart w:id="173" w:name="_Hlk196657237"/>
    </w:p>
    <w:bookmarkEnd w:id="173"/>
    <w:p w14:paraId="02BCB4FF">
      <w:pPr>
        <w:pStyle w:val="179"/>
        <w:rPr>
          <w:highlight w:val="none"/>
        </w:rPr>
      </w:pPr>
      <w:r>
        <w:rPr>
          <w:rFonts w:hint="eastAsia"/>
          <w:highlight w:val="none"/>
        </w:rPr>
        <w:t>家具设计安装后应不妨碍轮椅进入和回转，留有的通道净宽不应小于 1 050 mm；</w:t>
      </w:r>
    </w:p>
    <w:p w14:paraId="1C784546">
      <w:pPr>
        <w:pStyle w:val="179"/>
        <w:rPr>
          <w:highlight w:val="none"/>
        </w:rPr>
      </w:pPr>
      <w:r>
        <w:rPr>
          <w:rFonts w:hint="eastAsia"/>
          <w:highlight w:val="none"/>
        </w:rPr>
        <w:t>结构空间宜考虑康复辅助器具的收纳、使用空间，并预留所需辅助设备的空间条件。</w:t>
      </w:r>
    </w:p>
    <w:p w14:paraId="4D064F78">
      <w:pPr>
        <w:pStyle w:val="110"/>
        <w:spacing w:before="156" w:after="156"/>
        <w:rPr>
          <w:highlight w:val="none"/>
        </w:rPr>
      </w:pPr>
      <w:bookmarkStart w:id="174" w:name="_Toc208995859"/>
      <w:bookmarkStart w:id="175" w:name="_Toc199509046"/>
      <w:r>
        <w:rPr>
          <w:rFonts w:hint="eastAsia"/>
          <w:highlight w:val="none"/>
        </w:rPr>
        <w:t>产品使用说明和警示标识</w:t>
      </w:r>
      <w:bookmarkEnd w:id="174"/>
      <w:bookmarkEnd w:id="175"/>
    </w:p>
    <w:p w14:paraId="0623928D">
      <w:pPr>
        <w:pStyle w:val="70"/>
        <w:spacing w:before="156" w:after="156"/>
        <w:rPr>
          <w:highlight w:val="none"/>
        </w:rPr>
      </w:pPr>
      <w:r>
        <w:rPr>
          <w:rFonts w:hint="eastAsia"/>
          <w:highlight w:val="none"/>
        </w:rPr>
        <w:t>产品使用说明</w:t>
      </w:r>
    </w:p>
    <w:p w14:paraId="1DB9EA8A">
      <w:pPr>
        <w:pStyle w:val="61"/>
        <w:ind w:firstLine="420"/>
        <w:rPr>
          <w:highlight w:val="none"/>
        </w:rPr>
      </w:pPr>
      <w:r>
        <w:rPr>
          <w:rFonts w:hint="eastAsia"/>
          <w:highlight w:val="none"/>
        </w:rPr>
        <w:t>应为产品提供详细的产品说明书，包括但不限于以下内容：</w:t>
      </w:r>
    </w:p>
    <w:p w14:paraId="00677645">
      <w:pPr>
        <w:pStyle w:val="137"/>
        <w:numPr>
          <w:ilvl w:val="0"/>
          <w:numId w:val="0"/>
        </w:numPr>
        <w:ind w:left="425"/>
        <w:rPr>
          <w:highlight w:val="none"/>
        </w:rPr>
      </w:pPr>
      <w:r>
        <w:rPr>
          <w:rFonts w:hint="eastAsia"/>
          <w:highlight w:val="none"/>
        </w:rPr>
        <w:t>——产品名称、规格型号；</w:t>
      </w:r>
    </w:p>
    <w:p w14:paraId="1C30E925">
      <w:pPr>
        <w:pStyle w:val="137"/>
        <w:rPr>
          <w:highlight w:val="none"/>
        </w:rPr>
      </w:pPr>
      <w:r>
        <w:rPr>
          <w:rFonts w:hint="eastAsia"/>
          <w:highlight w:val="none"/>
        </w:rPr>
        <w:t>生产者名称、地址；</w:t>
      </w:r>
    </w:p>
    <w:p w14:paraId="1B6CED23">
      <w:pPr>
        <w:pStyle w:val="137"/>
        <w:rPr>
          <w:highlight w:val="none"/>
        </w:rPr>
      </w:pPr>
      <w:r>
        <w:rPr>
          <w:rFonts w:hint="eastAsia"/>
          <w:highlight w:val="none"/>
        </w:rPr>
        <w:t>执行标准；</w:t>
      </w:r>
    </w:p>
    <w:p w14:paraId="3CD21E86">
      <w:pPr>
        <w:pStyle w:val="137"/>
        <w:rPr>
          <w:highlight w:val="none"/>
        </w:rPr>
      </w:pPr>
      <w:r>
        <w:rPr>
          <w:rFonts w:hint="eastAsia"/>
          <w:highlight w:val="none"/>
        </w:rPr>
        <w:t>生产或出厂日期；</w:t>
      </w:r>
    </w:p>
    <w:p w14:paraId="63E9C71B">
      <w:pPr>
        <w:pStyle w:val="137"/>
        <w:rPr>
          <w:highlight w:val="none"/>
        </w:rPr>
      </w:pPr>
      <w:r>
        <w:rPr>
          <w:rFonts w:hint="eastAsia"/>
          <w:highlight w:val="none"/>
        </w:rPr>
        <w:t>产品主要原辅材料名称及其使用部位；</w:t>
      </w:r>
    </w:p>
    <w:p w14:paraId="1A883B24">
      <w:pPr>
        <w:pStyle w:val="137"/>
        <w:rPr>
          <w:highlight w:val="none"/>
        </w:rPr>
      </w:pPr>
      <w:r>
        <w:rPr>
          <w:rFonts w:hint="eastAsia"/>
          <w:highlight w:val="none"/>
        </w:rPr>
        <w:t>有害物质限量的控制指标；</w:t>
      </w:r>
    </w:p>
    <w:p w14:paraId="77518FDE">
      <w:pPr>
        <w:pStyle w:val="137"/>
        <w:rPr>
          <w:highlight w:val="none"/>
        </w:rPr>
      </w:pPr>
      <w:r>
        <w:rPr>
          <w:rFonts w:hint="eastAsia"/>
          <w:highlight w:val="none"/>
        </w:rPr>
        <w:t>避免攀爬、防止夹手等应特别说明的安全使用注意事项；</w:t>
      </w:r>
    </w:p>
    <w:p w14:paraId="0F0935E8">
      <w:pPr>
        <w:pStyle w:val="137"/>
        <w:rPr>
          <w:highlight w:val="none"/>
        </w:rPr>
      </w:pPr>
      <w:r>
        <w:rPr>
          <w:highlight w:val="none"/>
        </w:rPr>
        <w:t>产品电子部件操作方法、使用效果及注意事项；</w:t>
      </w:r>
    </w:p>
    <w:p w14:paraId="6F65BB4D">
      <w:pPr>
        <w:pStyle w:val="137"/>
        <w:rPr>
          <w:highlight w:val="none"/>
        </w:rPr>
      </w:pPr>
      <w:r>
        <w:rPr>
          <w:rFonts w:hint="eastAsia"/>
          <w:highlight w:val="none"/>
        </w:rPr>
        <w:t>产品电气部分相关技术参数；</w:t>
      </w:r>
    </w:p>
    <w:p w14:paraId="2CCF77C1">
      <w:pPr>
        <w:pStyle w:val="137"/>
        <w:rPr>
          <w:highlight w:val="none"/>
        </w:rPr>
      </w:pPr>
      <w:r>
        <w:rPr>
          <w:rFonts w:hint="eastAsia"/>
          <w:highlight w:val="none"/>
        </w:rPr>
        <w:t>升降产品的升降行程范围；</w:t>
      </w:r>
    </w:p>
    <w:p w14:paraId="2E31E77A">
      <w:pPr>
        <w:pStyle w:val="137"/>
      </w:pPr>
      <w:r>
        <w:rPr>
          <w:rFonts w:hint="eastAsia"/>
        </w:rPr>
        <w:t>产品的建议使用寿命；</w:t>
      </w:r>
    </w:p>
    <w:p w14:paraId="4B8A0E48">
      <w:pPr>
        <w:pStyle w:val="137"/>
      </w:pPr>
      <w:r>
        <w:rPr>
          <w:rFonts w:hint="eastAsia"/>
        </w:rPr>
        <w:t>产品的阻燃等级；</w:t>
      </w:r>
    </w:p>
    <w:p w14:paraId="0A52CDA1">
      <w:pPr>
        <w:pStyle w:val="137"/>
      </w:pPr>
      <w:r>
        <w:rPr>
          <w:rFonts w:hint="eastAsia"/>
        </w:rPr>
        <w:t>产品安装、使用、维护与保养说明，使用说明的编写可参考 GB/T 5296.6；</w:t>
      </w:r>
    </w:p>
    <w:p w14:paraId="25A75B6D">
      <w:pPr>
        <w:pStyle w:val="137"/>
        <w:rPr>
          <w:highlight w:val="none"/>
        </w:rPr>
      </w:pPr>
      <w:r>
        <w:rPr>
          <w:rFonts w:hint="eastAsia"/>
          <w:highlight w:val="none"/>
        </w:rPr>
        <w:t>特殊场景产品适用的年龄范围或适配的老年人能力等级；</w:t>
      </w:r>
    </w:p>
    <w:p w14:paraId="206B3872">
      <w:pPr>
        <w:pStyle w:val="137"/>
        <w:rPr>
          <w:highlight w:val="none"/>
        </w:rPr>
      </w:pPr>
      <w:r>
        <w:rPr>
          <w:rFonts w:hint="eastAsia"/>
          <w:highlight w:val="none"/>
        </w:rPr>
        <w:t>质保期限；</w:t>
      </w:r>
    </w:p>
    <w:p w14:paraId="4C612AB4">
      <w:pPr>
        <w:pStyle w:val="137"/>
        <w:rPr>
          <w:highlight w:val="none"/>
        </w:rPr>
      </w:pPr>
      <w:r>
        <w:rPr>
          <w:rFonts w:hint="eastAsia"/>
          <w:highlight w:val="none"/>
        </w:rPr>
        <w:t>回收建议。</w:t>
      </w:r>
    </w:p>
    <w:p w14:paraId="46B02B8F">
      <w:pPr>
        <w:pStyle w:val="70"/>
        <w:spacing w:before="156" w:after="156"/>
      </w:pPr>
      <w:r>
        <w:rPr>
          <w:rFonts w:hint="eastAsia"/>
        </w:rPr>
        <w:t>警示标识</w:t>
      </w:r>
    </w:p>
    <w:p w14:paraId="6F83E390">
      <w:pPr>
        <w:pStyle w:val="61"/>
        <w:ind w:firstLine="420"/>
      </w:pPr>
      <w:r>
        <w:rPr>
          <w:rFonts w:hint="eastAsia"/>
        </w:rPr>
        <w:t>产品上警示标识应满足表1的要求。</w:t>
      </w:r>
      <w:bookmarkStart w:id="235" w:name="_GoBack"/>
      <w:bookmarkEnd w:id="235"/>
    </w:p>
    <w:p w14:paraId="31BE0A9E">
      <w:pPr>
        <w:pStyle w:val="117"/>
        <w:spacing w:before="156" w:after="156"/>
      </w:pPr>
      <w:r>
        <w:rPr>
          <w:rFonts w:hint="eastAsia"/>
        </w:rPr>
        <w:t>警示标识要求</w:t>
      </w:r>
    </w:p>
    <w:tbl>
      <w:tblPr>
        <w:tblStyle w:val="27"/>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483"/>
        <w:gridCol w:w="1484"/>
        <w:gridCol w:w="6367"/>
      </w:tblGrid>
      <w:tr w14:paraId="3C613C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967" w:type="dxa"/>
            <w:gridSpan w:val="2"/>
            <w:tcBorders>
              <w:top w:val="single" w:color="auto" w:sz="8" w:space="0"/>
              <w:bottom w:val="single" w:color="auto" w:sz="8" w:space="0"/>
            </w:tcBorders>
            <w:vAlign w:val="center"/>
          </w:tcPr>
          <w:p w14:paraId="62AA1A40">
            <w:pPr>
              <w:pStyle w:val="183"/>
              <w:jc w:val="center"/>
            </w:pPr>
            <w:r>
              <w:rPr>
                <w:rFonts w:hint="eastAsia"/>
              </w:rPr>
              <w:t>场景</w:t>
            </w:r>
          </w:p>
        </w:tc>
        <w:tc>
          <w:tcPr>
            <w:tcW w:w="6367" w:type="dxa"/>
            <w:tcBorders>
              <w:top w:val="single" w:color="auto" w:sz="8" w:space="0"/>
              <w:bottom w:val="single" w:color="auto" w:sz="8" w:space="0"/>
            </w:tcBorders>
            <w:vAlign w:val="center"/>
          </w:tcPr>
          <w:p w14:paraId="32BDF4B3">
            <w:pPr>
              <w:pStyle w:val="183"/>
              <w:jc w:val="center"/>
            </w:pPr>
            <w:r>
              <w:rPr>
                <w:rFonts w:hint="eastAsia"/>
              </w:rPr>
              <w:t>要求</w:t>
            </w:r>
          </w:p>
        </w:tc>
      </w:tr>
      <w:tr w14:paraId="1FBEA9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gridSpan w:val="2"/>
            <w:vMerge w:val="restart"/>
            <w:tcBorders>
              <w:top w:val="single" w:color="auto" w:sz="8" w:space="0"/>
            </w:tcBorders>
            <w:vAlign w:val="center"/>
          </w:tcPr>
          <w:p w14:paraId="7960093C">
            <w:pPr>
              <w:pStyle w:val="183"/>
              <w:jc w:val="left"/>
            </w:pPr>
            <w:r>
              <w:rPr>
                <w:rFonts w:hint="eastAsia"/>
              </w:rPr>
              <w:t>通用场景</w:t>
            </w:r>
          </w:p>
        </w:tc>
        <w:tc>
          <w:tcPr>
            <w:tcW w:w="6367" w:type="dxa"/>
            <w:tcBorders>
              <w:top w:val="single" w:color="auto" w:sz="8" w:space="0"/>
            </w:tcBorders>
            <w:vAlign w:val="center"/>
          </w:tcPr>
          <w:p w14:paraId="744F42B2">
            <w:pPr>
              <w:pStyle w:val="183"/>
              <w:jc w:val="left"/>
            </w:pPr>
            <w:r>
              <w:rPr>
                <w:rFonts w:hint="eastAsia"/>
              </w:rPr>
              <w:t>警示语中“危险”“警告”“注意”等安全警示字体不应小于四号黑体字，警示内容不应小于五号黑体字，且应使用耐久性材料，清晰可见。</w:t>
            </w:r>
          </w:p>
        </w:tc>
      </w:tr>
      <w:tr w14:paraId="300E5E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gridSpan w:val="2"/>
            <w:vMerge w:val="continue"/>
            <w:vAlign w:val="center"/>
          </w:tcPr>
          <w:p w14:paraId="70706041">
            <w:pPr>
              <w:pStyle w:val="183"/>
              <w:jc w:val="left"/>
            </w:pPr>
          </w:p>
        </w:tc>
        <w:tc>
          <w:tcPr>
            <w:tcW w:w="6367" w:type="dxa"/>
            <w:vAlign w:val="center"/>
          </w:tcPr>
          <w:p w14:paraId="2229938D">
            <w:pPr>
              <w:pStyle w:val="183"/>
              <w:jc w:val="left"/>
              <w:rPr>
                <w:highlight w:val="none"/>
              </w:rPr>
            </w:pPr>
            <w:r>
              <w:rPr>
                <w:rFonts w:hint="eastAsia"/>
                <w:highlight w:val="none"/>
              </w:rPr>
              <w:t>有活动部件、折叠或调整装置的产品，应在其活动部件、折叠或调整装置相应的可视位置标示警示语，如“警告！小心夹伤！”</w:t>
            </w:r>
          </w:p>
        </w:tc>
      </w:tr>
      <w:tr w14:paraId="77F29C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67" w:type="dxa"/>
            <w:gridSpan w:val="2"/>
            <w:vMerge w:val="continue"/>
            <w:vAlign w:val="center"/>
          </w:tcPr>
          <w:p w14:paraId="324AD7B1">
            <w:pPr>
              <w:pStyle w:val="183"/>
              <w:jc w:val="left"/>
            </w:pPr>
          </w:p>
        </w:tc>
        <w:tc>
          <w:tcPr>
            <w:tcW w:w="6367" w:type="dxa"/>
            <w:vAlign w:val="center"/>
          </w:tcPr>
          <w:p w14:paraId="7C4180AE">
            <w:pPr>
              <w:pStyle w:val="183"/>
              <w:jc w:val="left"/>
            </w:pPr>
            <w:r>
              <w:rPr>
                <w:rFonts w:hint="eastAsia"/>
              </w:rPr>
              <w:t>有玻璃部件的产品，应在玻璃部件可视位置标示警示语，如“注意！小心玻璃！”</w:t>
            </w:r>
          </w:p>
        </w:tc>
      </w:tr>
      <w:tr w14:paraId="2EB72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83" w:type="dxa"/>
            <w:vMerge w:val="restart"/>
            <w:vAlign w:val="center"/>
          </w:tcPr>
          <w:p w14:paraId="315E6C0D">
            <w:pPr>
              <w:pStyle w:val="183"/>
              <w:jc w:val="left"/>
            </w:pPr>
            <w:r>
              <w:rPr>
                <w:rFonts w:hint="eastAsia"/>
              </w:rPr>
              <w:t>特殊场景</w:t>
            </w:r>
          </w:p>
        </w:tc>
        <w:tc>
          <w:tcPr>
            <w:tcW w:w="1484" w:type="dxa"/>
            <w:vMerge w:val="restart"/>
            <w:vAlign w:val="center"/>
          </w:tcPr>
          <w:p w14:paraId="0E63F263">
            <w:pPr>
              <w:pStyle w:val="183"/>
              <w:jc w:val="left"/>
            </w:pPr>
            <w:r>
              <w:rPr>
                <w:rFonts w:hint="eastAsia"/>
              </w:rPr>
              <w:t>婴幼儿及儿童场所、空间</w:t>
            </w:r>
          </w:p>
        </w:tc>
        <w:tc>
          <w:tcPr>
            <w:tcW w:w="6367" w:type="dxa"/>
            <w:vAlign w:val="center"/>
          </w:tcPr>
          <w:p w14:paraId="2B567444">
            <w:pPr>
              <w:pStyle w:val="183"/>
              <w:jc w:val="left"/>
            </w:pPr>
            <w:r>
              <w:rPr>
                <w:rFonts w:hint="eastAsia"/>
              </w:rPr>
              <w:t>警示内容应使用便于儿童理解的图形和文字结合的方式进行标注，采用鲜艳色彩（如红、黄等）</w:t>
            </w:r>
          </w:p>
        </w:tc>
      </w:tr>
      <w:tr w14:paraId="3D5EB0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83" w:type="dxa"/>
            <w:vMerge w:val="continue"/>
            <w:vAlign w:val="center"/>
          </w:tcPr>
          <w:p w14:paraId="43452A65">
            <w:pPr>
              <w:pStyle w:val="183"/>
              <w:jc w:val="left"/>
            </w:pPr>
          </w:p>
        </w:tc>
        <w:tc>
          <w:tcPr>
            <w:tcW w:w="1484" w:type="dxa"/>
            <w:vMerge w:val="continue"/>
            <w:vAlign w:val="center"/>
          </w:tcPr>
          <w:p w14:paraId="4F783709">
            <w:pPr>
              <w:pStyle w:val="183"/>
              <w:jc w:val="left"/>
            </w:pPr>
          </w:p>
        </w:tc>
        <w:tc>
          <w:tcPr>
            <w:tcW w:w="6367" w:type="dxa"/>
            <w:vAlign w:val="center"/>
          </w:tcPr>
          <w:p w14:paraId="51E44603">
            <w:pPr>
              <w:pStyle w:val="183"/>
              <w:jc w:val="left"/>
              <w:rPr>
                <w:highlight w:val="none"/>
              </w:rPr>
            </w:pPr>
            <w:r>
              <w:rPr>
                <w:rFonts w:hint="eastAsia"/>
                <w:highlight w:val="none"/>
              </w:rPr>
              <w:t>有封闭空间的产品，应在通风口附近显著位置标示类似含义的警示语，如“注意！切勿封堵！”</w:t>
            </w:r>
          </w:p>
        </w:tc>
      </w:tr>
      <w:tr w14:paraId="69EF73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83" w:type="dxa"/>
            <w:vMerge w:val="continue"/>
            <w:vAlign w:val="center"/>
          </w:tcPr>
          <w:p w14:paraId="74A95FFA">
            <w:pPr>
              <w:pStyle w:val="183"/>
              <w:jc w:val="left"/>
            </w:pPr>
          </w:p>
        </w:tc>
        <w:tc>
          <w:tcPr>
            <w:tcW w:w="1484" w:type="dxa"/>
            <w:vMerge w:val="continue"/>
            <w:vAlign w:val="center"/>
          </w:tcPr>
          <w:p w14:paraId="20D3F2D5">
            <w:pPr>
              <w:pStyle w:val="183"/>
              <w:jc w:val="left"/>
            </w:pPr>
          </w:p>
        </w:tc>
        <w:tc>
          <w:tcPr>
            <w:tcW w:w="6367" w:type="dxa"/>
            <w:vAlign w:val="center"/>
          </w:tcPr>
          <w:p w14:paraId="7E179657">
            <w:pPr>
              <w:pStyle w:val="183"/>
              <w:jc w:val="left"/>
              <w:rPr>
                <w:highlight w:val="none"/>
              </w:rPr>
            </w:pPr>
            <w:r>
              <w:rPr>
                <w:rFonts w:hint="eastAsia"/>
                <w:highlight w:val="none"/>
              </w:rPr>
              <w:t>有升降装置的婴儿床、学习桌等家具，应在产品可视位置标示警示语，如“危险！请勿频繁升降玩耍！”</w:t>
            </w:r>
          </w:p>
        </w:tc>
      </w:tr>
      <w:tr w14:paraId="700027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83" w:type="dxa"/>
            <w:vMerge w:val="continue"/>
            <w:vAlign w:val="center"/>
          </w:tcPr>
          <w:p w14:paraId="2240244B">
            <w:pPr>
              <w:pStyle w:val="183"/>
              <w:jc w:val="left"/>
            </w:pPr>
          </w:p>
        </w:tc>
        <w:tc>
          <w:tcPr>
            <w:tcW w:w="1484" w:type="dxa"/>
            <w:vMerge w:val="continue"/>
            <w:vAlign w:val="center"/>
          </w:tcPr>
          <w:p w14:paraId="11BD241F">
            <w:pPr>
              <w:pStyle w:val="183"/>
              <w:jc w:val="left"/>
            </w:pPr>
          </w:p>
        </w:tc>
        <w:tc>
          <w:tcPr>
            <w:tcW w:w="6367" w:type="dxa"/>
            <w:vAlign w:val="center"/>
          </w:tcPr>
          <w:p w14:paraId="201F68B2">
            <w:pPr>
              <w:pStyle w:val="183"/>
              <w:jc w:val="left"/>
              <w:rPr>
                <w:highlight w:val="none"/>
              </w:rPr>
            </w:pPr>
            <w:r>
              <w:rPr>
                <w:rFonts w:hint="eastAsia"/>
                <w:highlight w:val="none"/>
              </w:rPr>
              <w:t>婴幼儿及儿童房间家具产品不符合 GB 6675.2</w:t>
            </w:r>
            <w:r>
              <w:rPr>
                <w:rFonts w:hint="eastAsia"/>
                <w:highlight w:val="none"/>
                <w:lang w:val="en-US" w:eastAsia="zh-CN"/>
              </w:rPr>
              <w:t>-2025</w:t>
            </w:r>
            <w:r>
              <w:rPr>
                <w:rFonts w:hint="eastAsia"/>
                <w:highlight w:val="none"/>
              </w:rPr>
              <w:t>中4.10要求的包装塑料覆盖物上，应有下列类似含义的风险警示标识：为避免窒息危险，在使用此物品前移除塑料覆盖物。此覆盖物应销毁或远离婴幼儿和儿童</w:t>
            </w:r>
          </w:p>
        </w:tc>
      </w:tr>
      <w:tr w14:paraId="3C78B8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83" w:type="dxa"/>
            <w:vMerge w:val="continue"/>
            <w:vAlign w:val="center"/>
          </w:tcPr>
          <w:p w14:paraId="50F1202C">
            <w:pPr>
              <w:pStyle w:val="183"/>
              <w:jc w:val="left"/>
            </w:pPr>
          </w:p>
        </w:tc>
        <w:tc>
          <w:tcPr>
            <w:tcW w:w="1484" w:type="dxa"/>
            <w:vMerge w:val="restart"/>
            <w:vAlign w:val="center"/>
          </w:tcPr>
          <w:p w14:paraId="4D6C186B">
            <w:pPr>
              <w:pStyle w:val="183"/>
              <w:jc w:val="left"/>
            </w:pPr>
            <w:r>
              <w:rPr>
                <w:rFonts w:hint="eastAsia"/>
              </w:rPr>
              <w:t>老年人及失能人群场所、空间</w:t>
            </w:r>
          </w:p>
        </w:tc>
        <w:tc>
          <w:tcPr>
            <w:tcW w:w="6367" w:type="dxa"/>
            <w:vAlign w:val="center"/>
          </w:tcPr>
          <w:p w14:paraId="46F191F2">
            <w:pPr>
              <w:pStyle w:val="183"/>
              <w:jc w:val="left"/>
            </w:pPr>
            <w:r>
              <w:rPr>
                <w:rFonts w:hint="eastAsia"/>
              </w:rPr>
              <w:t>警示标识字体应采用高对比度颜色（如黑白、红白等），设置在老年人易于查看的区域，不应置于有图像或图案的背景上</w:t>
            </w:r>
          </w:p>
        </w:tc>
      </w:tr>
      <w:tr w14:paraId="3FA023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83" w:type="dxa"/>
            <w:vMerge w:val="continue"/>
            <w:vAlign w:val="center"/>
          </w:tcPr>
          <w:p w14:paraId="7E5AFE90">
            <w:pPr>
              <w:pStyle w:val="183"/>
              <w:jc w:val="left"/>
            </w:pPr>
          </w:p>
        </w:tc>
        <w:tc>
          <w:tcPr>
            <w:tcW w:w="1484" w:type="dxa"/>
            <w:vMerge w:val="continue"/>
            <w:vAlign w:val="center"/>
          </w:tcPr>
          <w:p w14:paraId="03E4C96F">
            <w:pPr>
              <w:pStyle w:val="183"/>
              <w:jc w:val="left"/>
            </w:pPr>
          </w:p>
        </w:tc>
        <w:tc>
          <w:tcPr>
            <w:tcW w:w="6367" w:type="dxa"/>
            <w:vAlign w:val="center"/>
          </w:tcPr>
          <w:p w14:paraId="7B10692F">
            <w:pPr>
              <w:pStyle w:val="183"/>
              <w:jc w:val="left"/>
            </w:pPr>
            <w:r>
              <w:rPr>
                <w:rFonts w:hint="eastAsia"/>
              </w:rPr>
              <w:t>如使用警示符号，应符合相关安全及图形符号标准要求，安全警示符号高度不小于 10 mm，其他符号高度不小于 5 mm</w:t>
            </w:r>
          </w:p>
        </w:tc>
      </w:tr>
      <w:tr w14:paraId="65D51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83" w:type="dxa"/>
            <w:vMerge w:val="continue"/>
            <w:vAlign w:val="center"/>
          </w:tcPr>
          <w:p w14:paraId="7D779BFC">
            <w:pPr>
              <w:pStyle w:val="183"/>
              <w:jc w:val="left"/>
            </w:pPr>
          </w:p>
        </w:tc>
        <w:tc>
          <w:tcPr>
            <w:tcW w:w="1484" w:type="dxa"/>
            <w:vMerge w:val="continue"/>
            <w:vAlign w:val="center"/>
          </w:tcPr>
          <w:p w14:paraId="70A81046">
            <w:pPr>
              <w:pStyle w:val="183"/>
              <w:jc w:val="left"/>
            </w:pPr>
          </w:p>
        </w:tc>
        <w:tc>
          <w:tcPr>
            <w:tcW w:w="6367" w:type="dxa"/>
            <w:vAlign w:val="center"/>
          </w:tcPr>
          <w:p w14:paraId="7A8545D6">
            <w:pPr>
              <w:pStyle w:val="183"/>
              <w:jc w:val="left"/>
            </w:pPr>
            <w:r>
              <w:rPr>
                <w:rFonts w:hint="eastAsia"/>
              </w:rPr>
              <w:t>有运行装置、用电部件的产品，在其显著位置应有警示标识</w:t>
            </w:r>
          </w:p>
        </w:tc>
      </w:tr>
    </w:tbl>
    <w:p w14:paraId="3C14F663">
      <w:pPr>
        <w:pStyle w:val="61"/>
        <w:ind w:firstLine="0" w:firstLineChars="0"/>
      </w:pPr>
    </w:p>
    <w:p w14:paraId="0B3D0471">
      <w:pPr>
        <w:pStyle w:val="109"/>
        <w:spacing w:before="312" w:after="312"/>
      </w:pPr>
      <w:bookmarkStart w:id="176" w:name="_Toc199509064"/>
      <w:bookmarkStart w:id="177" w:name="_Toc199149054"/>
      <w:bookmarkStart w:id="178" w:name="_Toc199509047"/>
      <w:bookmarkStart w:id="179" w:name="_Toc199149029"/>
      <w:bookmarkStart w:id="180" w:name="_Toc199512863"/>
      <w:bookmarkStart w:id="181" w:name="_Toc212553734"/>
      <w:bookmarkStart w:id="182" w:name="_Toc208995880"/>
      <w:bookmarkStart w:id="183" w:name="_Toc199509111"/>
      <w:bookmarkStart w:id="184" w:name="_Toc208995860"/>
      <w:bookmarkStart w:id="185" w:name="_Toc199945471"/>
      <w:r>
        <w:rPr>
          <w:rFonts w:hint="eastAsia"/>
        </w:rPr>
        <w:t>原辅材料</w:t>
      </w:r>
      <w:bookmarkEnd w:id="176"/>
      <w:bookmarkEnd w:id="177"/>
      <w:bookmarkEnd w:id="178"/>
      <w:bookmarkEnd w:id="179"/>
      <w:r>
        <w:rPr>
          <w:rFonts w:hint="eastAsia"/>
        </w:rPr>
        <w:t>控制</w:t>
      </w:r>
      <w:bookmarkEnd w:id="180"/>
      <w:bookmarkEnd w:id="181"/>
      <w:bookmarkEnd w:id="182"/>
      <w:bookmarkEnd w:id="183"/>
      <w:bookmarkEnd w:id="184"/>
      <w:bookmarkEnd w:id="185"/>
    </w:p>
    <w:p w14:paraId="3EE019AD">
      <w:pPr>
        <w:pStyle w:val="110"/>
        <w:spacing w:before="156" w:after="156"/>
      </w:pPr>
      <w:bookmarkStart w:id="186" w:name="_Toc199149030"/>
      <w:bookmarkStart w:id="187" w:name="_Toc199509048"/>
      <w:bookmarkStart w:id="188" w:name="_Toc196736205"/>
      <w:bookmarkStart w:id="189" w:name="_Toc208995861"/>
      <w:r>
        <w:rPr>
          <w:rFonts w:hint="eastAsia"/>
        </w:rPr>
        <w:t>通用场景</w:t>
      </w:r>
      <w:bookmarkEnd w:id="186"/>
      <w:bookmarkEnd w:id="187"/>
      <w:bookmarkEnd w:id="188"/>
      <w:bookmarkEnd w:id="189"/>
    </w:p>
    <w:p w14:paraId="3645C549">
      <w:pPr>
        <w:pStyle w:val="170"/>
      </w:pPr>
      <w:r>
        <w:rPr>
          <w:rFonts w:hint="eastAsia"/>
        </w:rPr>
        <w:t>采用的原辅材料应满足设计阶段确定的等级要求，并符合相关标准，具体参考附录A。</w:t>
      </w:r>
    </w:p>
    <w:p w14:paraId="2DAE4747">
      <w:pPr>
        <w:pStyle w:val="170"/>
      </w:pPr>
      <w:r>
        <w:rPr>
          <w:rFonts w:hint="eastAsia"/>
        </w:rPr>
        <w:t>原辅材料选择应结合本省梅雨季节高温高湿、多雨潮湿的气候特点，关注防潮防霉和耐久性，避免因环境因素导致的安全隐患。</w:t>
      </w:r>
    </w:p>
    <w:p w14:paraId="11F14CC2">
      <w:pPr>
        <w:pStyle w:val="170"/>
      </w:pPr>
      <w:r>
        <w:rPr>
          <w:rFonts w:hint="eastAsia"/>
        </w:rPr>
        <w:t>门铰链、抽滑轨、脚轮、连接件等五金配件应优先选用已标准化、系列化的产品，其强度、耐久性、防锈蚀等性能应充分考虑客户使用环境（如高温高湿、频繁开闭等）和使用年限要求。</w:t>
      </w:r>
    </w:p>
    <w:p w14:paraId="711A5968">
      <w:pPr>
        <w:pStyle w:val="170"/>
      </w:pPr>
      <w:r>
        <w:rPr>
          <w:rFonts w:hint="eastAsia"/>
        </w:rPr>
        <w:t>对于定制化原辅材料、创新材料等非标材料，应对技术合规性、工艺适配性、涉及安全的关键性能开展验证或试验，确保安全。</w:t>
      </w:r>
    </w:p>
    <w:p w14:paraId="1AE4EE0F">
      <w:pPr>
        <w:pStyle w:val="170"/>
      </w:pPr>
      <w:r>
        <w:rPr>
          <w:rFonts w:hint="eastAsia"/>
        </w:rPr>
        <w:t>带有软包件的家具阻燃性能应不低于GB 17927-2024第4章中阻燃I级的要求。</w:t>
      </w:r>
    </w:p>
    <w:p w14:paraId="5B8D71EA">
      <w:pPr>
        <w:pStyle w:val="170"/>
      </w:pPr>
      <w:r>
        <w:rPr>
          <w:rFonts w:hint="eastAsia"/>
        </w:rPr>
        <w:t>应当对原辅材料建立并执行进货检查验收制度，包括但不限于：</w:t>
      </w:r>
    </w:p>
    <w:p w14:paraId="5C580E40">
      <w:pPr>
        <w:pStyle w:val="137"/>
        <w:rPr>
          <w:highlight w:val="none"/>
        </w:rPr>
      </w:pPr>
      <w:r>
        <w:rPr>
          <w:rFonts w:hint="eastAsia"/>
        </w:rPr>
        <w:t>核查检测报告</w:t>
      </w:r>
      <w:r>
        <w:rPr>
          <w:rFonts w:hint="eastAsia"/>
          <w:highlight w:val="none"/>
        </w:rPr>
        <w:t>、质量合格证明、符合国家/行业强制性标准及企业明示的产品标准的证明等质量证明文件；</w:t>
      </w:r>
    </w:p>
    <w:p w14:paraId="39278AD6">
      <w:pPr>
        <w:pStyle w:val="137"/>
        <w:rPr>
          <w:highlight w:val="none"/>
        </w:rPr>
      </w:pPr>
      <w:r>
        <w:rPr>
          <w:rFonts w:hint="eastAsia"/>
          <w:highlight w:val="none"/>
        </w:rPr>
        <w:t>必要的实物检验或试验。</w:t>
      </w:r>
    </w:p>
    <w:p w14:paraId="3D060890">
      <w:pPr>
        <w:pStyle w:val="110"/>
        <w:spacing w:before="156" w:after="156"/>
        <w:rPr>
          <w:highlight w:val="none"/>
        </w:rPr>
      </w:pPr>
      <w:bookmarkStart w:id="190" w:name="_Toc199149031"/>
      <w:bookmarkStart w:id="191" w:name="_Toc196736206"/>
      <w:bookmarkStart w:id="192" w:name="_Toc208995862"/>
      <w:bookmarkStart w:id="193" w:name="_Toc199509049"/>
      <w:r>
        <w:rPr>
          <w:rFonts w:hint="eastAsia"/>
          <w:highlight w:val="none"/>
        </w:rPr>
        <w:t>特殊场景</w:t>
      </w:r>
      <w:bookmarkEnd w:id="190"/>
      <w:bookmarkEnd w:id="191"/>
      <w:bookmarkEnd w:id="192"/>
      <w:bookmarkEnd w:id="193"/>
    </w:p>
    <w:p w14:paraId="2B834778">
      <w:pPr>
        <w:pStyle w:val="170"/>
        <w:rPr>
          <w:highlight w:val="none"/>
        </w:rPr>
      </w:pPr>
      <w:r>
        <w:rPr>
          <w:rFonts w:hint="eastAsia"/>
          <w:highlight w:val="none"/>
        </w:rPr>
        <w:t>婴幼儿及儿童房间家具材料除符合6.1外，还应满足以下要求：</w:t>
      </w:r>
    </w:p>
    <w:p w14:paraId="66598130">
      <w:pPr>
        <w:pStyle w:val="179"/>
        <w:numPr>
          <w:ilvl w:val="0"/>
          <w:numId w:val="39"/>
        </w:numPr>
        <w:rPr>
          <w:highlight w:val="none"/>
        </w:rPr>
      </w:pPr>
      <w:r>
        <w:rPr>
          <w:rFonts w:hint="eastAsia"/>
          <w:highlight w:val="none"/>
        </w:rPr>
        <w:t>产品中的织物、覆面织物和塑料覆盖物，当按照 GB 6675.3-2025中5.4的规定进行试验时，其火焰蔓延速率应不大于30 mm/s，或火焰在到达第二标记线前自动熄灭；当按 GB 6675.3—2014中附录 B进行试验时，不应出现表面闪烁；</w:t>
      </w:r>
    </w:p>
    <w:p w14:paraId="12BDE9EE">
      <w:pPr>
        <w:pStyle w:val="179"/>
        <w:numPr>
          <w:ilvl w:val="0"/>
          <w:numId w:val="39"/>
        </w:numPr>
        <w:rPr>
          <w:highlight w:val="none"/>
        </w:rPr>
      </w:pPr>
      <w:r>
        <w:rPr>
          <w:rFonts w:hint="eastAsia"/>
          <w:highlight w:val="none"/>
        </w:rPr>
        <w:t>产品中的化学性能应符合</w:t>
      </w:r>
      <w:r>
        <w:rPr>
          <w:highlight w:val="none"/>
        </w:rPr>
        <w:t>GB 6675.</w:t>
      </w:r>
      <w:r>
        <w:rPr>
          <w:rFonts w:hint="eastAsia"/>
          <w:highlight w:val="none"/>
        </w:rPr>
        <w:t>1</w:t>
      </w:r>
      <w:r>
        <w:rPr>
          <w:rFonts w:hint="eastAsia"/>
          <w:highlight w:val="none"/>
          <w:lang w:val="en-US" w:eastAsia="zh-CN"/>
        </w:rPr>
        <w:t>-2025</w:t>
      </w:r>
      <w:r>
        <w:rPr>
          <w:rFonts w:hint="eastAsia"/>
          <w:highlight w:val="none"/>
        </w:rPr>
        <w:t>的相关要求；</w:t>
      </w:r>
    </w:p>
    <w:p w14:paraId="1AC3FA9F">
      <w:pPr>
        <w:pStyle w:val="179"/>
        <w:numPr>
          <w:ilvl w:val="0"/>
          <w:numId w:val="39"/>
        </w:numPr>
        <w:rPr>
          <w:highlight w:val="none"/>
        </w:rPr>
      </w:pPr>
      <w:r>
        <w:rPr>
          <w:rFonts w:hint="eastAsia"/>
          <w:highlight w:val="none"/>
        </w:rPr>
        <w:t>应避免使用易碎材料，或应用合适的设计方式使儿童不易接触。</w:t>
      </w:r>
    </w:p>
    <w:p w14:paraId="6B727136">
      <w:pPr>
        <w:pStyle w:val="170"/>
        <w:rPr>
          <w:highlight w:val="none"/>
        </w:rPr>
      </w:pPr>
      <w:r>
        <w:rPr>
          <w:rFonts w:hint="eastAsia"/>
          <w:highlight w:val="none"/>
        </w:rPr>
        <w:t>老年人及失能人群房间家具材料除符合6.1外，还应满足以下要求：</w:t>
      </w:r>
    </w:p>
    <w:p w14:paraId="206E2173">
      <w:pPr>
        <w:pStyle w:val="179"/>
        <w:numPr>
          <w:ilvl w:val="0"/>
          <w:numId w:val="40"/>
        </w:numPr>
        <w:rPr>
          <w:highlight w:val="none"/>
        </w:rPr>
      </w:pPr>
      <w:r>
        <w:rPr>
          <w:rFonts w:hint="eastAsia"/>
          <w:highlight w:val="none"/>
        </w:rPr>
        <w:t>塑料件冲击强度应≥10 kJ/m</w:t>
      </w:r>
      <w:r>
        <w:rPr>
          <w:rFonts w:hint="eastAsia"/>
          <w:highlight w:val="none"/>
          <w:vertAlign w:val="superscript"/>
        </w:rPr>
        <w:t>2</w:t>
      </w:r>
      <w:r>
        <w:rPr>
          <w:rFonts w:hint="eastAsia"/>
          <w:highlight w:val="none"/>
        </w:rPr>
        <w:t>；</w:t>
      </w:r>
    </w:p>
    <w:p w14:paraId="3C0603EE">
      <w:pPr>
        <w:pStyle w:val="179"/>
        <w:numPr>
          <w:ilvl w:val="0"/>
          <w:numId w:val="40"/>
        </w:numPr>
        <w:rPr>
          <w:highlight w:val="none"/>
        </w:rPr>
      </w:pPr>
      <w:r>
        <w:rPr>
          <w:rFonts w:hint="eastAsia"/>
          <w:highlight w:val="none"/>
        </w:rPr>
        <w:t>各种管材或异形管材，其受力部件的管壁厚度不应小于1.2 mm；</w:t>
      </w:r>
    </w:p>
    <w:p w14:paraId="4DD1A26B">
      <w:pPr>
        <w:pStyle w:val="179"/>
        <w:numPr>
          <w:ilvl w:val="0"/>
          <w:numId w:val="40"/>
        </w:numPr>
        <w:rPr>
          <w:highlight w:val="none"/>
        </w:rPr>
      </w:pPr>
      <w:r>
        <w:rPr>
          <w:rFonts w:hint="eastAsia"/>
          <w:highlight w:val="none"/>
        </w:rPr>
        <w:t>带有软包件的家具阻燃性能应不低于GB 17927-2024第4章中阻燃III级的要求。</w:t>
      </w:r>
    </w:p>
    <w:p w14:paraId="7E50BE5B">
      <w:pPr>
        <w:pStyle w:val="109"/>
        <w:spacing w:before="312" w:after="312"/>
        <w:rPr>
          <w:highlight w:val="none"/>
        </w:rPr>
      </w:pPr>
      <w:bookmarkStart w:id="194" w:name="_Toc199509112"/>
      <w:bookmarkStart w:id="195" w:name="_Toc208995881"/>
      <w:bookmarkStart w:id="196" w:name="_Toc199512864"/>
      <w:bookmarkStart w:id="197" w:name="_Toc199149055"/>
      <w:bookmarkStart w:id="198" w:name="_Toc199945472"/>
      <w:bookmarkStart w:id="199" w:name="_Toc199149032"/>
      <w:bookmarkStart w:id="200" w:name="_Toc199509050"/>
      <w:bookmarkStart w:id="201" w:name="_Toc208995863"/>
      <w:bookmarkStart w:id="202" w:name="_Toc212553735"/>
      <w:bookmarkStart w:id="203" w:name="_Toc199509065"/>
      <w:r>
        <w:rPr>
          <w:rFonts w:hint="eastAsia"/>
          <w:highlight w:val="none"/>
        </w:rPr>
        <w:t>生产</w:t>
      </w:r>
      <w:bookmarkEnd w:id="194"/>
      <w:bookmarkEnd w:id="195"/>
      <w:bookmarkEnd w:id="196"/>
      <w:bookmarkEnd w:id="197"/>
      <w:bookmarkEnd w:id="198"/>
      <w:bookmarkEnd w:id="199"/>
      <w:bookmarkEnd w:id="200"/>
      <w:bookmarkEnd w:id="201"/>
      <w:bookmarkEnd w:id="202"/>
      <w:bookmarkEnd w:id="203"/>
    </w:p>
    <w:p w14:paraId="7AA3A0F1">
      <w:pPr>
        <w:pStyle w:val="110"/>
        <w:spacing w:before="156" w:after="156"/>
      </w:pPr>
      <w:bookmarkStart w:id="204" w:name="_Toc208995864"/>
      <w:r>
        <w:rPr>
          <w:rFonts w:hint="eastAsia"/>
        </w:rPr>
        <w:t>前馈控制</w:t>
      </w:r>
      <w:bookmarkEnd w:id="204"/>
    </w:p>
    <w:p w14:paraId="72622F5D">
      <w:pPr>
        <w:pStyle w:val="170"/>
      </w:pPr>
      <w:r>
        <w:rPr>
          <w:rFonts w:hint="eastAsia"/>
        </w:rPr>
        <w:t>确认设计图纸的正确性、可制造性，识别出生产中的关键工序、特殊点和特殊过程。</w:t>
      </w:r>
    </w:p>
    <w:p w14:paraId="3BBFFFB1">
      <w:pPr>
        <w:pStyle w:val="170"/>
      </w:pPr>
      <w:r>
        <w:rPr>
          <w:rFonts w:hint="eastAsia"/>
        </w:rPr>
        <w:t>确认原辅材料均经过验收、质量合格，满足第6章的相关要求。</w:t>
      </w:r>
    </w:p>
    <w:p w14:paraId="4FC0FB59">
      <w:pPr>
        <w:pStyle w:val="110"/>
        <w:spacing w:before="156" w:after="156"/>
      </w:pPr>
      <w:bookmarkStart w:id="205" w:name="_Toc208995865"/>
      <w:r>
        <w:rPr>
          <w:rFonts w:hint="eastAsia"/>
        </w:rPr>
        <w:t>现场控制</w:t>
      </w:r>
      <w:bookmarkEnd w:id="205"/>
    </w:p>
    <w:p w14:paraId="39775B33">
      <w:pPr>
        <w:pStyle w:val="170"/>
      </w:pPr>
      <w:r>
        <w:rPr>
          <w:rFonts w:hint="eastAsia"/>
        </w:rPr>
        <w:t>在关键工序、特殊点和特殊过程设置检验点，确保与产品设计的一致性。</w:t>
      </w:r>
    </w:p>
    <w:p w14:paraId="32F29383">
      <w:pPr>
        <w:pStyle w:val="170"/>
      </w:pPr>
      <w:r>
        <w:rPr>
          <w:rFonts w:hint="eastAsia"/>
        </w:rPr>
        <w:t>对生产过程进行监控和记录，确保结构、标识等严格符合第5章的相关要求。</w:t>
      </w:r>
    </w:p>
    <w:p w14:paraId="1F11D638">
      <w:pPr>
        <w:pStyle w:val="110"/>
        <w:spacing w:before="156" w:after="156"/>
      </w:pPr>
      <w:bookmarkStart w:id="206" w:name="_Toc208995866"/>
      <w:r>
        <w:rPr>
          <w:rFonts w:hint="eastAsia"/>
        </w:rPr>
        <w:t>反馈控制</w:t>
      </w:r>
      <w:bookmarkEnd w:id="206"/>
    </w:p>
    <w:p w14:paraId="0A53DCB7">
      <w:pPr>
        <w:pStyle w:val="61"/>
        <w:ind w:firstLine="420"/>
      </w:pPr>
      <w:r>
        <w:rPr>
          <w:rFonts w:hint="eastAsia"/>
        </w:rPr>
        <w:t>收集安装人员在现场发现的尺寸不符、孔位偏差、破损等问题，并分析改进。</w:t>
      </w:r>
    </w:p>
    <w:p w14:paraId="4E471F10">
      <w:pPr>
        <w:pStyle w:val="109"/>
        <w:spacing w:before="312" w:after="312"/>
      </w:pPr>
      <w:bookmarkStart w:id="207" w:name="_Toc208995867"/>
      <w:bookmarkStart w:id="208" w:name="_Toc199509066"/>
      <w:bookmarkStart w:id="209" w:name="_Toc199509113"/>
      <w:bookmarkStart w:id="210" w:name="_Toc208995882"/>
      <w:bookmarkStart w:id="211" w:name="_Toc199512865"/>
      <w:bookmarkStart w:id="212" w:name="_Toc212553736"/>
      <w:bookmarkStart w:id="213" w:name="_Toc199149056"/>
      <w:bookmarkStart w:id="214" w:name="_Toc199149033"/>
      <w:bookmarkStart w:id="215" w:name="_Toc199509051"/>
      <w:bookmarkStart w:id="216" w:name="_Toc199945473"/>
      <w:r>
        <w:rPr>
          <w:rFonts w:hint="eastAsia"/>
        </w:rPr>
        <w:t>安装</w:t>
      </w:r>
      <w:bookmarkEnd w:id="207"/>
      <w:bookmarkEnd w:id="208"/>
      <w:bookmarkEnd w:id="209"/>
      <w:bookmarkEnd w:id="210"/>
      <w:bookmarkEnd w:id="211"/>
      <w:bookmarkEnd w:id="212"/>
      <w:bookmarkEnd w:id="213"/>
      <w:bookmarkEnd w:id="214"/>
      <w:bookmarkEnd w:id="215"/>
      <w:bookmarkEnd w:id="216"/>
    </w:p>
    <w:p w14:paraId="197F86B3">
      <w:pPr>
        <w:pStyle w:val="110"/>
        <w:spacing w:before="156" w:after="156"/>
        <w:rPr>
          <w:highlight w:val="none"/>
        </w:rPr>
      </w:pPr>
      <w:bookmarkStart w:id="217" w:name="_Toc199509052"/>
      <w:bookmarkStart w:id="218" w:name="_Toc208995868"/>
      <w:bookmarkStart w:id="219" w:name="_Toc199149034"/>
      <w:r>
        <w:rPr>
          <w:rFonts w:hint="eastAsia"/>
        </w:rPr>
        <w:t>组合结构安全控制</w:t>
      </w:r>
      <w:bookmarkEnd w:id="217"/>
      <w:bookmarkEnd w:id="218"/>
      <w:bookmarkEnd w:id="219"/>
    </w:p>
    <w:p w14:paraId="4C5F4B5B">
      <w:pPr>
        <w:pStyle w:val="170"/>
        <w:rPr>
          <w:highlight w:val="none"/>
        </w:rPr>
      </w:pPr>
      <w:r>
        <w:rPr>
          <w:rFonts w:hint="eastAsia"/>
          <w:highlight w:val="none"/>
        </w:rPr>
        <w:t>应使用原厂配套连接配件，关键承重连接点应采用可靠的连接方式，并结合防松处理与预紧力控制，确保连接系统在额定荷载下无松动或失效。</w:t>
      </w:r>
    </w:p>
    <w:p w14:paraId="7EDAC316">
      <w:pPr>
        <w:pStyle w:val="170"/>
        <w:rPr>
          <w:highlight w:val="none"/>
        </w:rPr>
      </w:pPr>
      <w:r>
        <w:rPr>
          <w:rFonts w:hint="eastAsia"/>
          <w:highlight w:val="none"/>
        </w:rPr>
        <w:t>组合产品的极限偏差应同取正值或负值。</w:t>
      </w:r>
    </w:p>
    <w:p w14:paraId="297B2BD0">
      <w:pPr>
        <w:pStyle w:val="170"/>
        <w:rPr>
          <w:highlight w:val="none"/>
        </w:rPr>
      </w:pPr>
      <w:r>
        <w:rPr>
          <w:rFonts w:hint="eastAsia"/>
          <w:highlight w:val="none"/>
        </w:rPr>
        <w:t>组合过程中若发现，因尺寸偏差导致产品安装后会出现不满足结构要求的间隙，应立即停止安装，更换尺寸合适的产品。</w:t>
      </w:r>
    </w:p>
    <w:p w14:paraId="754C981C">
      <w:pPr>
        <w:pStyle w:val="170"/>
        <w:rPr>
          <w:highlight w:val="none"/>
        </w:rPr>
      </w:pPr>
      <w:r>
        <w:rPr>
          <w:rFonts w:hint="eastAsia"/>
          <w:highlight w:val="none"/>
        </w:rPr>
        <w:t>安装结束后，应检查确认产品符合5.2的设计要求。</w:t>
      </w:r>
    </w:p>
    <w:p w14:paraId="16746A4D">
      <w:pPr>
        <w:pStyle w:val="110"/>
        <w:spacing w:before="156" w:after="156"/>
        <w:rPr>
          <w:highlight w:val="none"/>
        </w:rPr>
      </w:pPr>
      <w:bookmarkStart w:id="220" w:name="_Toc199509053"/>
      <w:bookmarkStart w:id="221" w:name="_Toc199149035"/>
      <w:bookmarkStart w:id="222" w:name="_Toc208995869"/>
      <w:r>
        <w:rPr>
          <w:rFonts w:hint="eastAsia"/>
          <w:highlight w:val="none"/>
        </w:rPr>
        <w:t>装配工艺控制</w:t>
      </w:r>
      <w:bookmarkEnd w:id="220"/>
      <w:bookmarkEnd w:id="221"/>
      <w:bookmarkEnd w:id="222"/>
    </w:p>
    <w:p w14:paraId="0B1ED6D4">
      <w:pPr>
        <w:pStyle w:val="170"/>
      </w:pPr>
      <w:r>
        <w:rPr>
          <w:rFonts w:hint="eastAsia"/>
        </w:rPr>
        <w:t>装配过程中，宜分阶段组合验证。</w:t>
      </w:r>
    </w:p>
    <w:p w14:paraId="3924481A">
      <w:pPr>
        <w:pStyle w:val="170"/>
      </w:pPr>
      <w:r>
        <w:rPr>
          <w:rFonts w:hint="eastAsia"/>
        </w:rPr>
        <w:t>应考虑使用环境的温湿度影响，预留足以修正温湿度影响的伸缩间隙，或使用可修正温湿度影响的辅助材料。</w:t>
      </w:r>
    </w:p>
    <w:p w14:paraId="3FEED30E">
      <w:pPr>
        <w:pStyle w:val="170"/>
      </w:pPr>
      <w:r>
        <w:rPr>
          <w:rFonts w:hint="eastAsia"/>
        </w:rPr>
        <w:t>安装过程中发现有影响安装质量的问题时应及时停止安装，待问题解决后再进行安装。</w:t>
      </w:r>
    </w:p>
    <w:p w14:paraId="4823901C">
      <w:pPr>
        <w:pStyle w:val="110"/>
        <w:spacing w:before="156" w:after="156"/>
      </w:pPr>
      <w:bookmarkStart w:id="223" w:name="_Toc208995870"/>
      <w:bookmarkStart w:id="224" w:name="_Toc199149036"/>
      <w:bookmarkStart w:id="225" w:name="_Toc199509054"/>
      <w:r>
        <w:rPr>
          <w:rFonts w:hint="eastAsia"/>
        </w:rPr>
        <w:t>组合精度防控</w:t>
      </w:r>
      <w:bookmarkEnd w:id="223"/>
      <w:bookmarkEnd w:id="224"/>
      <w:bookmarkEnd w:id="225"/>
    </w:p>
    <w:p w14:paraId="175C5BB7">
      <w:pPr>
        <w:pStyle w:val="170"/>
      </w:pPr>
      <w:r>
        <w:rPr>
          <w:rFonts w:hint="eastAsia"/>
        </w:rPr>
        <w:t>应使用专业测量工具确定水平基准面和垂直基准线。</w:t>
      </w:r>
    </w:p>
    <w:p w14:paraId="4D373147">
      <w:pPr>
        <w:pStyle w:val="170"/>
      </w:pPr>
      <w:r>
        <w:rPr>
          <w:rFonts w:hint="eastAsia"/>
        </w:rPr>
        <w:t>应按照“从核心向外扩展”的原则，制定安装规程，严格按照规程装配。</w:t>
      </w:r>
    </w:p>
    <w:p w14:paraId="596A5AAA">
      <w:pPr>
        <w:pStyle w:val="109"/>
        <w:spacing w:before="312" w:after="312"/>
        <w:rPr>
          <w:highlight w:val="none"/>
        </w:rPr>
      </w:pPr>
      <w:bookmarkStart w:id="226" w:name="_Toc199509055"/>
      <w:bookmarkStart w:id="227" w:name="_Toc208995871"/>
      <w:bookmarkStart w:id="228" w:name="_Toc212553737"/>
      <w:bookmarkStart w:id="229" w:name="_Toc208995883"/>
      <w:bookmarkStart w:id="230" w:name="_Toc199512866"/>
      <w:bookmarkStart w:id="231" w:name="_Toc199945474"/>
      <w:bookmarkStart w:id="232" w:name="_Toc199149039"/>
      <w:r>
        <w:rPr>
          <w:rFonts w:hint="eastAsia"/>
        </w:rPr>
        <w:t>验收</w:t>
      </w:r>
      <w:bookmarkEnd w:id="226"/>
      <w:bookmarkEnd w:id="227"/>
      <w:bookmarkEnd w:id="228"/>
      <w:bookmarkEnd w:id="229"/>
      <w:bookmarkEnd w:id="230"/>
      <w:bookmarkEnd w:id="231"/>
      <w:bookmarkEnd w:id="232"/>
    </w:p>
    <w:p w14:paraId="60251ED9">
      <w:pPr>
        <w:pStyle w:val="167"/>
        <w:rPr>
          <w:highlight w:val="none"/>
        </w:rPr>
      </w:pPr>
      <w:r>
        <w:rPr>
          <w:rFonts w:hint="eastAsia"/>
          <w:highlight w:val="none"/>
        </w:rPr>
        <w:t>产品安装质量验收应符合第8章和GB/T 43003-2023中 4.4.1.1.2的要求，产品使用说明和警示标识应符合5.4的要求。</w:t>
      </w:r>
    </w:p>
    <w:p w14:paraId="0B1D44AD">
      <w:pPr>
        <w:pStyle w:val="167"/>
      </w:pPr>
      <w:r>
        <w:rPr>
          <w:rFonts w:hint="eastAsia"/>
          <w:highlight w:val="none"/>
        </w:rPr>
        <w:t>对产品整体验收时，如有必要，产品的有害物质含量应符合GB 18584-2024的要求，当明示指标高于GB 18584-2024时，应符合明</w:t>
      </w:r>
      <w:r>
        <w:rPr>
          <w:rFonts w:hint="eastAsia"/>
        </w:rPr>
        <w:t>示质量指标。</w:t>
      </w:r>
    </w:p>
    <w:p w14:paraId="7CE04C27">
      <w:pPr>
        <w:pStyle w:val="167"/>
      </w:pPr>
      <w:r>
        <w:rPr>
          <w:rFonts w:hint="eastAsia"/>
        </w:rPr>
        <w:t>验收时应向客户提供产品所使用的板材、玻璃材料、金属材料、五金配件、涂料与胶黏剂、软包件主要面料等主要材料的相关检测报告、合格证等质量证明。</w:t>
      </w:r>
    </w:p>
    <w:p w14:paraId="1529F30A">
      <w:pPr>
        <w:pStyle w:val="167"/>
        <w:rPr>
          <w:rFonts w:hint="eastAsia"/>
        </w:rPr>
      </w:pPr>
      <w:r>
        <w:rPr>
          <w:rFonts w:hint="eastAsia"/>
        </w:rPr>
        <w:t>产品整体验收结束，应填写定制家具验收单，至少包含附录B的项目。</w:t>
      </w:r>
      <w:bookmarkEnd w:id="45"/>
      <w:bookmarkStart w:id="233" w:name="BookMark5"/>
    </w:p>
    <w:p w14:paraId="50DACEF1">
      <w:pPr>
        <w:pStyle w:val="109"/>
        <w:bidi w:val="0"/>
        <w:ind w:left="-420" w:leftChars="0"/>
        <w:rPr>
          <w:rFonts w:hint="eastAsia"/>
        </w:rPr>
      </w:pPr>
    </w:p>
    <w:p w14:paraId="055D72FF">
      <w:pPr>
        <w:pStyle w:val="204"/>
        <w:rPr>
          <w:vanish w:val="0"/>
        </w:rPr>
      </w:pPr>
    </w:p>
    <w:p w14:paraId="6D114221">
      <w:pPr>
        <w:pStyle w:val="81"/>
        <w:spacing w:after="156"/>
      </w:pPr>
      <w:r>
        <w:br w:type="textWrapping"/>
      </w:r>
      <w:r>
        <w:rPr>
          <w:rFonts w:hint="eastAsia"/>
        </w:rPr>
        <w:t>（资料性）</w:t>
      </w:r>
      <w:r>
        <w:br w:type="textWrapping"/>
      </w:r>
      <w:r>
        <w:rPr>
          <w:rFonts w:hint="eastAsia"/>
        </w:rPr>
        <w:t>主要原辅材料要求</w:t>
      </w:r>
    </w:p>
    <w:p w14:paraId="4A22CD3F">
      <w:pPr>
        <w:pStyle w:val="61"/>
        <w:ind w:firstLine="420"/>
      </w:pPr>
      <w:r>
        <w:rPr>
          <w:rFonts w:hint="eastAsia"/>
        </w:rPr>
        <w:t>表A.1给出了家具采用的主要原辅材料应符合的相关标准。</w:t>
      </w:r>
    </w:p>
    <w:p w14:paraId="3428BB09">
      <w:pPr>
        <w:pStyle w:val="82"/>
        <w:spacing w:before="156" w:after="156"/>
      </w:pPr>
      <w:r>
        <w:rPr>
          <w:rFonts w:hint="eastAsia"/>
        </w:rPr>
        <w:t>主要原辅材料要求</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7"/>
        <w:gridCol w:w="2559"/>
        <w:gridCol w:w="2705"/>
        <w:gridCol w:w="3263"/>
      </w:tblGrid>
      <w:tr w14:paraId="0AEB6F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52" w:type="pct"/>
          </w:tcPr>
          <w:p w14:paraId="199C173F">
            <w:pPr>
              <w:pStyle w:val="183"/>
            </w:pPr>
            <w:r>
              <w:rPr>
                <w:rFonts w:hint="eastAsia"/>
              </w:rPr>
              <w:t>序号</w:t>
            </w:r>
          </w:p>
        </w:tc>
        <w:tc>
          <w:tcPr>
            <w:tcW w:w="1365" w:type="pct"/>
            <w:tcBorders>
              <w:top w:val="single" w:color="auto" w:sz="8" w:space="0"/>
              <w:bottom w:val="single" w:color="auto" w:sz="8" w:space="0"/>
            </w:tcBorders>
            <w:vAlign w:val="center"/>
          </w:tcPr>
          <w:p w14:paraId="14349099">
            <w:pPr>
              <w:pStyle w:val="183"/>
            </w:pPr>
            <w:r>
              <w:rPr>
                <w:rFonts w:hint="eastAsia"/>
              </w:rPr>
              <w:t>种类</w:t>
            </w:r>
          </w:p>
        </w:tc>
        <w:tc>
          <w:tcPr>
            <w:tcW w:w="1443" w:type="pct"/>
            <w:tcBorders>
              <w:top w:val="single" w:color="auto" w:sz="8" w:space="0"/>
              <w:bottom w:val="single" w:color="auto" w:sz="8" w:space="0"/>
            </w:tcBorders>
            <w:vAlign w:val="center"/>
          </w:tcPr>
          <w:p w14:paraId="3F9C06B6">
            <w:pPr>
              <w:pStyle w:val="183"/>
            </w:pPr>
            <w:r>
              <w:rPr>
                <w:rFonts w:hint="eastAsia"/>
              </w:rPr>
              <w:t>细分类</w:t>
            </w:r>
          </w:p>
        </w:tc>
        <w:tc>
          <w:tcPr>
            <w:tcW w:w="1740" w:type="pct"/>
            <w:tcBorders>
              <w:top w:val="single" w:color="auto" w:sz="8" w:space="0"/>
              <w:bottom w:val="single" w:color="auto" w:sz="8" w:space="0"/>
            </w:tcBorders>
            <w:vAlign w:val="center"/>
          </w:tcPr>
          <w:p w14:paraId="5FBA58BF">
            <w:pPr>
              <w:pStyle w:val="183"/>
            </w:pPr>
            <w:r>
              <w:rPr>
                <w:rFonts w:hint="eastAsia"/>
              </w:rPr>
              <w:t>应符合的标准</w:t>
            </w:r>
          </w:p>
        </w:tc>
      </w:tr>
      <w:tr w14:paraId="5C50CB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restart"/>
            <w:vAlign w:val="center"/>
          </w:tcPr>
          <w:p w14:paraId="0510337F">
            <w:pPr>
              <w:pStyle w:val="183"/>
            </w:pPr>
            <w:r>
              <w:rPr>
                <w:rFonts w:hint="eastAsia"/>
              </w:rPr>
              <w:t>1</w:t>
            </w:r>
          </w:p>
        </w:tc>
        <w:tc>
          <w:tcPr>
            <w:tcW w:w="1365" w:type="pct"/>
            <w:vMerge w:val="restart"/>
            <w:tcBorders>
              <w:top w:val="single" w:color="auto" w:sz="8" w:space="0"/>
            </w:tcBorders>
            <w:vAlign w:val="center"/>
          </w:tcPr>
          <w:p w14:paraId="59944695">
            <w:pPr>
              <w:pStyle w:val="183"/>
            </w:pPr>
            <w:r>
              <w:rPr>
                <w:rFonts w:hint="eastAsia"/>
              </w:rPr>
              <w:t>木材</w:t>
            </w:r>
          </w:p>
        </w:tc>
        <w:tc>
          <w:tcPr>
            <w:tcW w:w="1443" w:type="pct"/>
            <w:tcBorders>
              <w:top w:val="single" w:color="auto" w:sz="8" w:space="0"/>
            </w:tcBorders>
            <w:vAlign w:val="center"/>
          </w:tcPr>
          <w:p w14:paraId="2864ABDB">
            <w:pPr>
              <w:pStyle w:val="183"/>
            </w:pPr>
            <w:r>
              <w:rPr>
                <w:rFonts w:hint="eastAsia"/>
              </w:rPr>
              <w:t>锯切用原木</w:t>
            </w:r>
          </w:p>
        </w:tc>
        <w:tc>
          <w:tcPr>
            <w:tcW w:w="1740" w:type="pct"/>
            <w:tcBorders>
              <w:top w:val="single" w:color="auto" w:sz="8" w:space="0"/>
            </w:tcBorders>
            <w:vAlign w:val="center"/>
          </w:tcPr>
          <w:p w14:paraId="3921AF59">
            <w:pPr>
              <w:pStyle w:val="183"/>
            </w:pPr>
            <w:r>
              <w:t>GB/T 143</w:t>
            </w:r>
          </w:p>
        </w:tc>
      </w:tr>
      <w:tr w14:paraId="134DB4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2298726F">
            <w:pPr>
              <w:pStyle w:val="183"/>
            </w:pPr>
          </w:p>
        </w:tc>
        <w:tc>
          <w:tcPr>
            <w:tcW w:w="1365" w:type="pct"/>
            <w:vMerge w:val="continue"/>
            <w:vAlign w:val="center"/>
          </w:tcPr>
          <w:p w14:paraId="4D6AC665">
            <w:pPr>
              <w:pStyle w:val="183"/>
            </w:pPr>
          </w:p>
        </w:tc>
        <w:tc>
          <w:tcPr>
            <w:tcW w:w="1443" w:type="pct"/>
            <w:vAlign w:val="center"/>
          </w:tcPr>
          <w:p w14:paraId="1449E1C4">
            <w:pPr>
              <w:pStyle w:val="183"/>
            </w:pPr>
            <w:r>
              <w:rPr>
                <w:rFonts w:hint="eastAsia"/>
              </w:rPr>
              <w:t>旋切单板用原木</w:t>
            </w:r>
          </w:p>
        </w:tc>
        <w:tc>
          <w:tcPr>
            <w:tcW w:w="1740" w:type="pct"/>
            <w:vAlign w:val="center"/>
          </w:tcPr>
          <w:p w14:paraId="7166E435">
            <w:pPr>
              <w:pStyle w:val="183"/>
            </w:pPr>
            <w:r>
              <w:t>GB/T 15779</w:t>
            </w:r>
          </w:p>
        </w:tc>
      </w:tr>
      <w:tr w14:paraId="11365A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27106889">
            <w:pPr>
              <w:pStyle w:val="183"/>
            </w:pPr>
          </w:p>
        </w:tc>
        <w:tc>
          <w:tcPr>
            <w:tcW w:w="1365" w:type="pct"/>
            <w:vMerge w:val="continue"/>
            <w:vAlign w:val="center"/>
          </w:tcPr>
          <w:p w14:paraId="3B87118F">
            <w:pPr>
              <w:pStyle w:val="183"/>
            </w:pPr>
          </w:p>
        </w:tc>
        <w:tc>
          <w:tcPr>
            <w:tcW w:w="1443" w:type="pct"/>
            <w:vAlign w:val="center"/>
          </w:tcPr>
          <w:p w14:paraId="47B960DB">
            <w:pPr>
              <w:pStyle w:val="183"/>
            </w:pPr>
            <w:r>
              <w:rPr>
                <w:rFonts w:hint="eastAsia"/>
              </w:rPr>
              <w:t>刨切单板用原木</w:t>
            </w:r>
          </w:p>
        </w:tc>
        <w:tc>
          <w:tcPr>
            <w:tcW w:w="1740" w:type="pct"/>
            <w:vAlign w:val="center"/>
          </w:tcPr>
          <w:p w14:paraId="2DC59D75">
            <w:pPr>
              <w:pStyle w:val="183"/>
            </w:pPr>
            <w:r>
              <w:t>GB/T 15106</w:t>
            </w:r>
          </w:p>
        </w:tc>
      </w:tr>
      <w:tr w14:paraId="262DD4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6D3CFD9B">
            <w:pPr>
              <w:pStyle w:val="183"/>
            </w:pPr>
          </w:p>
        </w:tc>
        <w:tc>
          <w:tcPr>
            <w:tcW w:w="1365" w:type="pct"/>
            <w:vMerge w:val="continue"/>
            <w:vAlign w:val="center"/>
          </w:tcPr>
          <w:p w14:paraId="57DA2575">
            <w:pPr>
              <w:pStyle w:val="183"/>
            </w:pPr>
          </w:p>
        </w:tc>
        <w:tc>
          <w:tcPr>
            <w:tcW w:w="1443" w:type="pct"/>
            <w:vAlign w:val="center"/>
          </w:tcPr>
          <w:p w14:paraId="66DBE6F9">
            <w:pPr>
              <w:pStyle w:val="183"/>
            </w:pPr>
            <w:r>
              <w:rPr>
                <w:rFonts w:hint="eastAsia"/>
              </w:rPr>
              <w:t>指接材</w:t>
            </w:r>
          </w:p>
        </w:tc>
        <w:tc>
          <w:tcPr>
            <w:tcW w:w="1740" w:type="pct"/>
            <w:vAlign w:val="center"/>
          </w:tcPr>
          <w:p w14:paraId="1D38C6C2">
            <w:pPr>
              <w:pStyle w:val="183"/>
            </w:pPr>
            <w:r>
              <w:rPr>
                <w:rFonts w:hint="eastAsia"/>
              </w:rPr>
              <w:t>GB/T 21140</w:t>
            </w:r>
          </w:p>
        </w:tc>
      </w:tr>
      <w:tr w14:paraId="363BA5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47373172">
            <w:pPr>
              <w:pStyle w:val="183"/>
            </w:pPr>
          </w:p>
        </w:tc>
        <w:tc>
          <w:tcPr>
            <w:tcW w:w="1365" w:type="pct"/>
            <w:vMerge w:val="continue"/>
            <w:vAlign w:val="center"/>
          </w:tcPr>
          <w:p w14:paraId="2B70AC38">
            <w:pPr>
              <w:pStyle w:val="183"/>
            </w:pPr>
          </w:p>
        </w:tc>
        <w:tc>
          <w:tcPr>
            <w:tcW w:w="1443" w:type="pct"/>
            <w:vAlign w:val="center"/>
          </w:tcPr>
          <w:p w14:paraId="1C8BB6F7">
            <w:pPr>
              <w:pStyle w:val="183"/>
            </w:pPr>
            <w:r>
              <w:rPr>
                <w:rFonts w:hint="eastAsia"/>
              </w:rPr>
              <w:t>集成材</w:t>
            </w:r>
          </w:p>
        </w:tc>
        <w:tc>
          <w:tcPr>
            <w:tcW w:w="1740" w:type="pct"/>
            <w:vAlign w:val="center"/>
          </w:tcPr>
          <w:p w14:paraId="36F6D44F">
            <w:pPr>
              <w:pStyle w:val="183"/>
            </w:pPr>
            <w:r>
              <w:rPr>
                <w:rFonts w:hint="eastAsia"/>
              </w:rPr>
              <w:t>LY/T 1787</w:t>
            </w:r>
          </w:p>
        </w:tc>
      </w:tr>
      <w:tr w14:paraId="52B8E8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restart"/>
            <w:vAlign w:val="center"/>
          </w:tcPr>
          <w:p w14:paraId="29481DCD">
            <w:pPr>
              <w:pStyle w:val="183"/>
            </w:pPr>
            <w:r>
              <w:rPr>
                <w:rFonts w:hint="eastAsia"/>
              </w:rPr>
              <w:t>2</w:t>
            </w:r>
          </w:p>
        </w:tc>
        <w:tc>
          <w:tcPr>
            <w:tcW w:w="1365" w:type="pct"/>
            <w:vMerge w:val="restart"/>
            <w:vAlign w:val="center"/>
          </w:tcPr>
          <w:p w14:paraId="4EAC0B34">
            <w:pPr>
              <w:pStyle w:val="183"/>
            </w:pPr>
            <w:r>
              <w:rPr>
                <w:rFonts w:hint="eastAsia"/>
              </w:rPr>
              <w:t>人造板</w:t>
            </w:r>
          </w:p>
        </w:tc>
        <w:tc>
          <w:tcPr>
            <w:tcW w:w="1443" w:type="pct"/>
            <w:vAlign w:val="center"/>
          </w:tcPr>
          <w:p w14:paraId="3936998A">
            <w:pPr>
              <w:pStyle w:val="183"/>
            </w:pPr>
            <w:r>
              <w:rPr>
                <w:rFonts w:hint="eastAsia"/>
              </w:rPr>
              <w:t>室内装饰装修材料 人造板及其制品</w:t>
            </w:r>
          </w:p>
        </w:tc>
        <w:tc>
          <w:tcPr>
            <w:tcW w:w="1740" w:type="pct"/>
            <w:vAlign w:val="center"/>
          </w:tcPr>
          <w:p w14:paraId="7EAD2031">
            <w:pPr>
              <w:pStyle w:val="183"/>
            </w:pPr>
            <w:r>
              <w:t>GB 18580</w:t>
            </w:r>
          </w:p>
        </w:tc>
      </w:tr>
      <w:tr w14:paraId="5EBF4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1ABEEAC1">
            <w:pPr>
              <w:pStyle w:val="183"/>
            </w:pPr>
          </w:p>
        </w:tc>
        <w:tc>
          <w:tcPr>
            <w:tcW w:w="1365" w:type="pct"/>
            <w:vMerge w:val="continue"/>
            <w:vAlign w:val="center"/>
          </w:tcPr>
          <w:p w14:paraId="2940AD0E">
            <w:pPr>
              <w:pStyle w:val="183"/>
            </w:pPr>
          </w:p>
        </w:tc>
        <w:tc>
          <w:tcPr>
            <w:tcW w:w="1443" w:type="pct"/>
            <w:vAlign w:val="center"/>
          </w:tcPr>
          <w:p w14:paraId="313BBBBE">
            <w:pPr>
              <w:pStyle w:val="183"/>
            </w:pPr>
            <w:r>
              <w:rPr>
                <w:rFonts w:hint="eastAsia"/>
              </w:rPr>
              <w:t>细木工板</w:t>
            </w:r>
          </w:p>
        </w:tc>
        <w:tc>
          <w:tcPr>
            <w:tcW w:w="1740" w:type="pct"/>
            <w:vAlign w:val="center"/>
          </w:tcPr>
          <w:p w14:paraId="5B9E30B4">
            <w:pPr>
              <w:pStyle w:val="183"/>
            </w:pPr>
            <w:r>
              <w:rPr>
                <w:rFonts w:hint="eastAsia"/>
              </w:rPr>
              <w:t>GB/T 5849</w:t>
            </w:r>
          </w:p>
        </w:tc>
      </w:tr>
      <w:tr w14:paraId="5C556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6B9CB36E">
            <w:pPr>
              <w:pStyle w:val="183"/>
            </w:pPr>
          </w:p>
        </w:tc>
        <w:tc>
          <w:tcPr>
            <w:tcW w:w="1365" w:type="pct"/>
            <w:vMerge w:val="continue"/>
            <w:vAlign w:val="center"/>
          </w:tcPr>
          <w:p w14:paraId="759C6E7B">
            <w:pPr>
              <w:pStyle w:val="183"/>
            </w:pPr>
          </w:p>
        </w:tc>
        <w:tc>
          <w:tcPr>
            <w:tcW w:w="1443" w:type="pct"/>
            <w:vAlign w:val="center"/>
          </w:tcPr>
          <w:p w14:paraId="0D4757B4">
            <w:pPr>
              <w:pStyle w:val="183"/>
            </w:pPr>
            <w:r>
              <w:rPr>
                <w:rFonts w:hint="eastAsia"/>
              </w:rPr>
              <w:t>浸渍胶膜纸饰面胶合板和细木工板</w:t>
            </w:r>
          </w:p>
        </w:tc>
        <w:tc>
          <w:tcPr>
            <w:tcW w:w="1740" w:type="pct"/>
            <w:vAlign w:val="center"/>
          </w:tcPr>
          <w:p w14:paraId="04FC40FA">
            <w:pPr>
              <w:pStyle w:val="183"/>
            </w:pPr>
            <w:r>
              <w:rPr>
                <w:rFonts w:hint="eastAsia"/>
              </w:rPr>
              <w:t>GB/T 34722</w:t>
            </w:r>
          </w:p>
        </w:tc>
      </w:tr>
      <w:tr w14:paraId="25BE3E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544BD23D">
            <w:pPr>
              <w:pStyle w:val="183"/>
            </w:pPr>
          </w:p>
        </w:tc>
        <w:tc>
          <w:tcPr>
            <w:tcW w:w="1365" w:type="pct"/>
            <w:vMerge w:val="continue"/>
            <w:vAlign w:val="center"/>
          </w:tcPr>
          <w:p w14:paraId="7BCD4047">
            <w:pPr>
              <w:pStyle w:val="183"/>
            </w:pPr>
          </w:p>
        </w:tc>
        <w:tc>
          <w:tcPr>
            <w:tcW w:w="1443" w:type="pct"/>
            <w:vAlign w:val="center"/>
          </w:tcPr>
          <w:p w14:paraId="0C27E6FF">
            <w:pPr>
              <w:pStyle w:val="183"/>
            </w:pPr>
            <w:r>
              <w:rPr>
                <w:rFonts w:hint="eastAsia"/>
              </w:rPr>
              <w:t>浸渍胶膜纸饰面纤维板和刨花板</w:t>
            </w:r>
          </w:p>
        </w:tc>
        <w:tc>
          <w:tcPr>
            <w:tcW w:w="1740" w:type="pct"/>
            <w:vAlign w:val="center"/>
          </w:tcPr>
          <w:p w14:paraId="71D57A35">
            <w:pPr>
              <w:pStyle w:val="183"/>
            </w:pPr>
            <w:r>
              <w:rPr>
                <w:rFonts w:hint="eastAsia"/>
              </w:rPr>
              <w:t>GB/T 15102</w:t>
            </w:r>
          </w:p>
        </w:tc>
      </w:tr>
      <w:tr w14:paraId="41DB06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0E73D9BC">
            <w:pPr>
              <w:pStyle w:val="183"/>
            </w:pPr>
          </w:p>
        </w:tc>
        <w:tc>
          <w:tcPr>
            <w:tcW w:w="1365" w:type="pct"/>
            <w:vMerge w:val="continue"/>
            <w:vAlign w:val="center"/>
          </w:tcPr>
          <w:p w14:paraId="0D74C197">
            <w:pPr>
              <w:pStyle w:val="183"/>
            </w:pPr>
          </w:p>
        </w:tc>
        <w:tc>
          <w:tcPr>
            <w:tcW w:w="1443" w:type="pct"/>
            <w:vAlign w:val="center"/>
          </w:tcPr>
          <w:p w14:paraId="53336B7C">
            <w:pPr>
              <w:pStyle w:val="183"/>
            </w:pPr>
            <w:r>
              <w:rPr>
                <w:rFonts w:hint="eastAsia"/>
              </w:rPr>
              <w:t>装饰单板贴面人造板</w:t>
            </w:r>
          </w:p>
        </w:tc>
        <w:tc>
          <w:tcPr>
            <w:tcW w:w="1740" w:type="pct"/>
            <w:vAlign w:val="center"/>
          </w:tcPr>
          <w:p w14:paraId="76AF65A3">
            <w:pPr>
              <w:pStyle w:val="183"/>
            </w:pPr>
            <w:r>
              <w:rPr>
                <w:rFonts w:hint="eastAsia"/>
              </w:rPr>
              <w:t>GB/T 15104</w:t>
            </w:r>
          </w:p>
        </w:tc>
      </w:tr>
      <w:tr w14:paraId="7C7BDB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0A876A86">
            <w:pPr>
              <w:pStyle w:val="183"/>
            </w:pPr>
          </w:p>
        </w:tc>
        <w:tc>
          <w:tcPr>
            <w:tcW w:w="1365" w:type="pct"/>
            <w:vMerge w:val="continue"/>
            <w:vAlign w:val="center"/>
          </w:tcPr>
          <w:p w14:paraId="080E492F">
            <w:pPr>
              <w:pStyle w:val="183"/>
            </w:pPr>
          </w:p>
        </w:tc>
        <w:tc>
          <w:tcPr>
            <w:tcW w:w="1443" w:type="pct"/>
            <w:vAlign w:val="center"/>
          </w:tcPr>
          <w:p w14:paraId="271A53E3">
            <w:pPr>
              <w:pStyle w:val="183"/>
            </w:pPr>
            <w:r>
              <w:rPr>
                <w:rFonts w:hint="eastAsia"/>
              </w:rPr>
              <w:t>铜箔、铝箔饰面人造板</w:t>
            </w:r>
          </w:p>
        </w:tc>
        <w:tc>
          <w:tcPr>
            <w:tcW w:w="1740" w:type="pct"/>
            <w:vAlign w:val="center"/>
          </w:tcPr>
          <w:p w14:paraId="3810EDB4">
            <w:pPr>
              <w:pStyle w:val="183"/>
            </w:pPr>
            <w:r>
              <w:rPr>
                <w:rFonts w:hint="eastAsia"/>
              </w:rPr>
              <w:t>LY/T 1983</w:t>
            </w:r>
          </w:p>
        </w:tc>
      </w:tr>
      <w:tr w14:paraId="77621C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36AA018F">
            <w:pPr>
              <w:pStyle w:val="183"/>
            </w:pPr>
          </w:p>
        </w:tc>
        <w:tc>
          <w:tcPr>
            <w:tcW w:w="1365" w:type="pct"/>
            <w:vMerge w:val="continue"/>
            <w:vAlign w:val="center"/>
          </w:tcPr>
          <w:p w14:paraId="330A9667">
            <w:pPr>
              <w:pStyle w:val="183"/>
            </w:pPr>
          </w:p>
        </w:tc>
        <w:tc>
          <w:tcPr>
            <w:tcW w:w="1443" w:type="pct"/>
            <w:vAlign w:val="center"/>
          </w:tcPr>
          <w:p w14:paraId="3838C3E3">
            <w:pPr>
              <w:pStyle w:val="183"/>
            </w:pPr>
            <w:r>
              <w:rPr>
                <w:rFonts w:hint="eastAsia"/>
              </w:rPr>
              <w:t>胶合板</w:t>
            </w:r>
          </w:p>
        </w:tc>
        <w:tc>
          <w:tcPr>
            <w:tcW w:w="1740" w:type="pct"/>
            <w:vAlign w:val="center"/>
          </w:tcPr>
          <w:p w14:paraId="74BFA677">
            <w:pPr>
              <w:pStyle w:val="183"/>
            </w:pPr>
            <w:r>
              <w:rPr>
                <w:rFonts w:hint="eastAsia"/>
              </w:rPr>
              <w:t>GB/T 9846</w:t>
            </w:r>
          </w:p>
        </w:tc>
      </w:tr>
      <w:tr w14:paraId="00A68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09F096C5">
            <w:pPr>
              <w:pStyle w:val="183"/>
            </w:pPr>
          </w:p>
        </w:tc>
        <w:tc>
          <w:tcPr>
            <w:tcW w:w="1365" w:type="pct"/>
            <w:vMerge w:val="continue"/>
            <w:vAlign w:val="center"/>
          </w:tcPr>
          <w:p w14:paraId="6DD4AE0C">
            <w:pPr>
              <w:pStyle w:val="183"/>
            </w:pPr>
          </w:p>
        </w:tc>
        <w:tc>
          <w:tcPr>
            <w:tcW w:w="1443" w:type="pct"/>
            <w:vAlign w:val="center"/>
          </w:tcPr>
          <w:p w14:paraId="13260231">
            <w:pPr>
              <w:pStyle w:val="183"/>
            </w:pPr>
            <w:r>
              <w:rPr>
                <w:rFonts w:hint="eastAsia"/>
              </w:rPr>
              <w:t>中密度纤维板</w:t>
            </w:r>
          </w:p>
        </w:tc>
        <w:tc>
          <w:tcPr>
            <w:tcW w:w="1740" w:type="pct"/>
            <w:vAlign w:val="center"/>
          </w:tcPr>
          <w:p w14:paraId="342EC0C8">
            <w:pPr>
              <w:pStyle w:val="183"/>
            </w:pPr>
            <w:r>
              <w:rPr>
                <w:rFonts w:hint="eastAsia"/>
              </w:rPr>
              <w:t>GB/T 11718</w:t>
            </w:r>
          </w:p>
        </w:tc>
      </w:tr>
      <w:tr w14:paraId="1CEC71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10AB0B2F">
            <w:pPr>
              <w:pStyle w:val="183"/>
            </w:pPr>
          </w:p>
        </w:tc>
        <w:tc>
          <w:tcPr>
            <w:tcW w:w="1365" w:type="pct"/>
            <w:vMerge w:val="continue"/>
            <w:vAlign w:val="center"/>
          </w:tcPr>
          <w:p w14:paraId="0CD8C1D3">
            <w:pPr>
              <w:pStyle w:val="183"/>
            </w:pPr>
          </w:p>
        </w:tc>
        <w:tc>
          <w:tcPr>
            <w:tcW w:w="1443" w:type="pct"/>
            <w:vAlign w:val="center"/>
          </w:tcPr>
          <w:p w14:paraId="72908006">
            <w:pPr>
              <w:pStyle w:val="183"/>
            </w:pPr>
            <w:r>
              <w:rPr>
                <w:rFonts w:hint="eastAsia"/>
              </w:rPr>
              <w:t>刨花板</w:t>
            </w:r>
          </w:p>
        </w:tc>
        <w:tc>
          <w:tcPr>
            <w:tcW w:w="1740" w:type="pct"/>
            <w:vAlign w:val="center"/>
          </w:tcPr>
          <w:p w14:paraId="2C8C4980">
            <w:pPr>
              <w:pStyle w:val="183"/>
            </w:pPr>
            <w:r>
              <w:rPr>
                <w:rFonts w:hint="eastAsia"/>
              </w:rPr>
              <w:t>GB/T 4897</w:t>
            </w:r>
          </w:p>
        </w:tc>
      </w:tr>
      <w:tr w14:paraId="2E166D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restart"/>
            <w:vAlign w:val="center"/>
          </w:tcPr>
          <w:p w14:paraId="35BE44E8">
            <w:pPr>
              <w:pStyle w:val="183"/>
            </w:pPr>
            <w:r>
              <w:rPr>
                <w:rFonts w:hint="eastAsia"/>
              </w:rPr>
              <w:t>3</w:t>
            </w:r>
          </w:p>
        </w:tc>
        <w:tc>
          <w:tcPr>
            <w:tcW w:w="1365" w:type="pct"/>
            <w:vMerge w:val="restart"/>
            <w:vAlign w:val="center"/>
          </w:tcPr>
          <w:p w14:paraId="5F663A4B">
            <w:pPr>
              <w:pStyle w:val="183"/>
            </w:pPr>
            <w:r>
              <w:rPr>
                <w:rFonts w:hint="eastAsia"/>
              </w:rPr>
              <w:t>其他材料</w:t>
            </w:r>
          </w:p>
        </w:tc>
        <w:tc>
          <w:tcPr>
            <w:tcW w:w="1443" w:type="pct"/>
            <w:vAlign w:val="center"/>
          </w:tcPr>
          <w:p w14:paraId="6FD72A0E">
            <w:pPr>
              <w:pStyle w:val="183"/>
            </w:pPr>
            <w:r>
              <w:rPr>
                <w:rFonts w:hint="eastAsia"/>
                <w:szCs w:val="18"/>
              </w:rPr>
              <w:t>夹层玻璃</w:t>
            </w:r>
          </w:p>
        </w:tc>
        <w:tc>
          <w:tcPr>
            <w:tcW w:w="1740" w:type="pct"/>
            <w:vAlign w:val="center"/>
          </w:tcPr>
          <w:p w14:paraId="2C7560FC">
            <w:pPr>
              <w:pStyle w:val="183"/>
            </w:pPr>
            <w:r>
              <w:rPr>
                <w:rFonts w:hint="eastAsia"/>
                <w:szCs w:val="18"/>
              </w:rPr>
              <w:t>GB 15763.3</w:t>
            </w:r>
          </w:p>
        </w:tc>
      </w:tr>
      <w:tr w14:paraId="157678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2D7F2B8A">
            <w:pPr>
              <w:pStyle w:val="183"/>
            </w:pPr>
          </w:p>
        </w:tc>
        <w:tc>
          <w:tcPr>
            <w:tcW w:w="1365" w:type="pct"/>
            <w:vMerge w:val="continue"/>
            <w:vAlign w:val="center"/>
          </w:tcPr>
          <w:p w14:paraId="02B60D5A">
            <w:pPr>
              <w:pStyle w:val="183"/>
            </w:pPr>
          </w:p>
        </w:tc>
        <w:tc>
          <w:tcPr>
            <w:tcW w:w="1443" w:type="pct"/>
            <w:vAlign w:val="center"/>
          </w:tcPr>
          <w:p w14:paraId="1D2ADC5C">
            <w:pPr>
              <w:pStyle w:val="183"/>
            </w:pPr>
            <w:r>
              <w:rPr>
                <w:rFonts w:hint="eastAsia"/>
                <w:szCs w:val="18"/>
              </w:rPr>
              <w:t>平板玻璃</w:t>
            </w:r>
          </w:p>
        </w:tc>
        <w:tc>
          <w:tcPr>
            <w:tcW w:w="1740" w:type="pct"/>
            <w:vAlign w:val="center"/>
          </w:tcPr>
          <w:p w14:paraId="105484C7">
            <w:pPr>
              <w:pStyle w:val="183"/>
            </w:pPr>
            <w:r>
              <w:rPr>
                <w:szCs w:val="18"/>
              </w:rPr>
              <w:t>GB</w:t>
            </w:r>
            <w:r>
              <w:rPr>
                <w:rFonts w:hint="eastAsia"/>
                <w:szCs w:val="18"/>
              </w:rPr>
              <w:t xml:space="preserve"> </w:t>
            </w:r>
            <w:r>
              <w:rPr>
                <w:szCs w:val="18"/>
              </w:rPr>
              <w:t>11614</w:t>
            </w:r>
            <w:r>
              <w:rPr>
                <w:rFonts w:hint="eastAsia"/>
                <w:szCs w:val="18"/>
              </w:rPr>
              <w:t xml:space="preserve"> </w:t>
            </w:r>
          </w:p>
        </w:tc>
      </w:tr>
      <w:tr w14:paraId="3BDA06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2" w:type="pct"/>
            <w:vMerge w:val="continue"/>
          </w:tcPr>
          <w:p w14:paraId="7CEB0F14">
            <w:pPr>
              <w:pStyle w:val="183"/>
            </w:pPr>
          </w:p>
        </w:tc>
        <w:tc>
          <w:tcPr>
            <w:tcW w:w="1365" w:type="pct"/>
            <w:vMerge w:val="continue"/>
            <w:vAlign w:val="center"/>
          </w:tcPr>
          <w:p w14:paraId="60AE7FF4">
            <w:pPr>
              <w:pStyle w:val="183"/>
            </w:pPr>
          </w:p>
        </w:tc>
        <w:tc>
          <w:tcPr>
            <w:tcW w:w="1443" w:type="pct"/>
            <w:vAlign w:val="center"/>
          </w:tcPr>
          <w:p w14:paraId="216FA010">
            <w:pPr>
              <w:pStyle w:val="183"/>
              <w:rPr>
                <w:szCs w:val="18"/>
              </w:rPr>
            </w:pPr>
            <w:r>
              <w:rPr>
                <w:rFonts w:hint="eastAsia"/>
                <w:szCs w:val="18"/>
              </w:rPr>
              <w:t>钢化玻璃</w:t>
            </w:r>
          </w:p>
        </w:tc>
        <w:tc>
          <w:tcPr>
            <w:tcW w:w="1740" w:type="pct"/>
            <w:vAlign w:val="center"/>
          </w:tcPr>
          <w:p w14:paraId="525C5948">
            <w:pPr>
              <w:pStyle w:val="183"/>
              <w:rPr>
                <w:szCs w:val="18"/>
              </w:rPr>
            </w:pPr>
            <w:r>
              <w:rPr>
                <w:rFonts w:hint="eastAsia"/>
                <w:szCs w:val="18"/>
              </w:rPr>
              <w:t>GB/T 26695</w:t>
            </w:r>
          </w:p>
        </w:tc>
      </w:tr>
    </w:tbl>
    <w:p w14:paraId="3631C94A">
      <w:pPr>
        <w:pStyle w:val="61"/>
        <w:spacing w:before="156" w:beforeLines="50" w:after="156" w:afterLines="50"/>
        <w:ind w:firstLine="0" w:firstLineChars="0"/>
        <w:jc w:val="center"/>
        <w:rPr>
          <w:rFonts w:hint="eastAsia" w:ascii="黑体" w:hAnsi="黑体" w:eastAsia="黑体"/>
        </w:rPr>
      </w:pPr>
    </w:p>
    <w:p w14:paraId="2F03F0A1">
      <w:pPr>
        <w:pStyle w:val="61"/>
        <w:spacing w:before="156" w:beforeLines="50" w:after="156" w:afterLines="50"/>
        <w:ind w:firstLine="0" w:firstLineChars="0"/>
        <w:jc w:val="center"/>
        <w:rPr>
          <w:rFonts w:hint="eastAsia" w:ascii="黑体" w:hAnsi="黑体" w:eastAsia="黑体"/>
        </w:rPr>
      </w:pPr>
      <w:r>
        <w:rPr>
          <w:rFonts w:hint="eastAsia" w:ascii="黑体" w:hAnsi="黑体" w:eastAsia="黑体"/>
        </w:rPr>
        <w:t>表A.1  主要原辅材料要求</w:t>
      </w:r>
      <w:r>
        <w:rPr>
          <w:rFonts w:hint="eastAsia" w:hAnsi="宋体"/>
        </w:rPr>
        <w:t>（续）</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6"/>
        <w:gridCol w:w="2563"/>
        <w:gridCol w:w="2988"/>
        <w:gridCol w:w="2977"/>
      </w:tblGrid>
      <w:tr w14:paraId="0E0E87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51" w:type="pct"/>
          </w:tcPr>
          <w:p w14:paraId="453314AC">
            <w:pPr>
              <w:pStyle w:val="183"/>
            </w:pPr>
            <w:r>
              <w:rPr>
                <w:rFonts w:hint="eastAsia"/>
              </w:rPr>
              <w:t>序号</w:t>
            </w:r>
          </w:p>
        </w:tc>
        <w:tc>
          <w:tcPr>
            <w:tcW w:w="1367" w:type="pct"/>
            <w:tcBorders>
              <w:top w:val="single" w:color="auto" w:sz="8" w:space="0"/>
              <w:bottom w:val="single" w:color="auto" w:sz="8" w:space="0"/>
            </w:tcBorders>
            <w:vAlign w:val="center"/>
          </w:tcPr>
          <w:p w14:paraId="53ACEF90">
            <w:pPr>
              <w:pStyle w:val="183"/>
            </w:pPr>
            <w:r>
              <w:rPr>
                <w:rFonts w:hint="eastAsia"/>
              </w:rPr>
              <w:t>种类</w:t>
            </w:r>
          </w:p>
        </w:tc>
        <w:tc>
          <w:tcPr>
            <w:tcW w:w="1594" w:type="pct"/>
            <w:tcBorders>
              <w:top w:val="single" w:color="auto" w:sz="8" w:space="0"/>
              <w:bottom w:val="single" w:color="auto" w:sz="8" w:space="0"/>
            </w:tcBorders>
            <w:vAlign w:val="center"/>
          </w:tcPr>
          <w:p w14:paraId="2C6F426D">
            <w:pPr>
              <w:pStyle w:val="183"/>
            </w:pPr>
            <w:r>
              <w:rPr>
                <w:rFonts w:hint="eastAsia"/>
              </w:rPr>
              <w:t>细分类</w:t>
            </w:r>
          </w:p>
        </w:tc>
        <w:tc>
          <w:tcPr>
            <w:tcW w:w="1588" w:type="pct"/>
            <w:tcBorders>
              <w:top w:val="single" w:color="auto" w:sz="8" w:space="0"/>
              <w:bottom w:val="single" w:color="auto" w:sz="8" w:space="0"/>
            </w:tcBorders>
            <w:vAlign w:val="center"/>
          </w:tcPr>
          <w:p w14:paraId="435424A4">
            <w:pPr>
              <w:pStyle w:val="183"/>
            </w:pPr>
            <w:r>
              <w:rPr>
                <w:rFonts w:hint="eastAsia"/>
              </w:rPr>
              <w:t>应符合的标准</w:t>
            </w:r>
          </w:p>
        </w:tc>
      </w:tr>
      <w:tr w14:paraId="22B8EA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51" w:type="pct"/>
            <w:vMerge w:val="restart"/>
            <w:vAlign w:val="center"/>
          </w:tcPr>
          <w:p w14:paraId="5E764CCF">
            <w:pPr>
              <w:pStyle w:val="183"/>
              <w:jc w:val="center"/>
            </w:pPr>
            <w:r>
              <w:rPr>
                <w:rFonts w:hint="eastAsia"/>
              </w:rPr>
              <w:t>3</w:t>
            </w:r>
          </w:p>
        </w:tc>
        <w:tc>
          <w:tcPr>
            <w:tcW w:w="1367" w:type="pct"/>
            <w:vMerge w:val="restart"/>
            <w:vAlign w:val="center"/>
          </w:tcPr>
          <w:p w14:paraId="7B6D7DCF">
            <w:pPr>
              <w:pStyle w:val="183"/>
            </w:pPr>
            <w:r>
              <w:rPr>
                <w:rFonts w:hint="eastAsia"/>
              </w:rPr>
              <w:t>其他材料</w:t>
            </w:r>
          </w:p>
        </w:tc>
        <w:tc>
          <w:tcPr>
            <w:tcW w:w="1594" w:type="pct"/>
            <w:vAlign w:val="center"/>
          </w:tcPr>
          <w:p w14:paraId="32805B85">
            <w:pPr>
              <w:pStyle w:val="183"/>
            </w:pPr>
            <w:r>
              <w:rPr>
                <w:rFonts w:hint="eastAsia"/>
                <w:szCs w:val="18"/>
              </w:rPr>
              <w:t>实体面材</w:t>
            </w:r>
          </w:p>
        </w:tc>
        <w:tc>
          <w:tcPr>
            <w:tcW w:w="1588" w:type="pct"/>
            <w:vAlign w:val="center"/>
          </w:tcPr>
          <w:p w14:paraId="0143D7C2">
            <w:pPr>
              <w:pStyle w:val="183"/>
            </w:pPr>
            <w:r>
              <w:rPr>
                <w:rFonts w:hint="eastAsia"/>
                <w:szCs w:val="18"/>
              </w:rPr>
              <w:t>GB/T 26696</w:t>
            </w:r>
          </w:p>
        </w:tc>
      </w:tr>
      <w:tr w14:paraId="24F3A3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2AFC5268">
            <w:pPr>
              <w:pStyle w:val="183"/>
            </w:pPr>
          </w:p>
        </w:tc>
        <w:tc>
          <w:tcPr>
            <w:tcW w:w="1367" w:type="pct"/>
            <w:vMerge w:val="continue"/>
            <w:vAlign w:val="center"/>
          </w:tcPr>
          <w:p w14:paraId="2CF23C82">
            <w:pPr>
              <w:pStyle w:val="183"/>
            </w:pPr>
          </w:p>
        </w:tc>
        <w:tc>
          <w:tcPr>
            <w:tcW w:w="1594" w:type="pct"/>
            <w:vAlign w:val="center"/>
          </w:tcPr>
          <w:p w14:paraId="64080574">
            <w:pPr>
              <w:pStyle w:val="183"/>
            </w:pPr>
            <w:r>
              <w:rPr>
                <w:rFonts w:hint="eastAsia"/>
                <w:szCs w:val="18"/>
              </w:rPr>
              <w:t>石英石</w:t>
            </w:r>
          </w:p>
        </w:tc>
        <w:tc>
          <w:tcPr>
            <w:tcW w:w="1588" w:type="pct"/>
            <w:vAlign w:val="center"/>
          </w:tcPr>
          <w:p w14:paraId="22C61A82">
            <w:pPr>
              <w:pStyle w:val="183"/>
            </w:pPr>
            <w:r>
              <w:rPr>
                <w:szCs w:val="18"/>
              </w:rPr>
              <w:t>JG/T 463</w:t>
            </w:r>
          </w:p>
        </w:tc>
      </w:tr>
      <w:tr w14:paraId="620B97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51" w:type="pct"/>
            <w:vMerge w:val="continue"/>
          </w:tcPr>
          <w:p w14:paraId="31D34647">
            <w:pPr>
              <w:pStyle w:val="183"/>
            </w:pPr>
          </w:p>
        </w:tc>
        <w:tc>
          <w:tcPr>
            <w:tcW w:w="1367" w:type="pct"/>
            <w:vMerge w:val="continue"/>
            <w:vAlign w:val="center"/>
          </w:tcPr>
          <w:p w14:paraId="113BEC29">
            <w:pPr>
              <w:pStyle w:val="183"/>
            </w:pPr>
          </w:p>
        </w:tc>
        <w:tc>
          <w:tcPr>
            <w:tcW w:w="1594" w:type="pct"/>
            <w:vAlign w:val="center"/>
          </w:tcPr>
          <w:p w14:paraId="42DF969E">
            <w:pPr>
              <w:pStyle w:val="183"/>
            </w:pPr>
            <w:r>
              <w:rPr>
                <w:rFonts w:hint="eastAsia"/>
                <w:szCs w:val="18"/>
              </w:rPr>
              <w:t>大理石</w:t>
            </w:r>
          </w:p>
        </w:tc>
        <w:tc>
          <w:tcPr>
            <w:tcW w:w="1588" w:type="pct"/>
            <w:vAlign w:val="center"/>
          </w:tcPr>
          <w:p w14:paraId="16A20E4E">
            <w:pPr>
              <w:pStyle w:val="183"/>
            </w:pPr>
            <w:r>
              <w:rPr>
                <w:szCs w:val="18"/>
              </w:rPr>
              <w:t>GB/T 19766</w:t>
            </w:r>
          </w:p>
        </w:tc>
      </w:tr>
      <w:tr w14:paraId="75AD57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71B3BF89">
            <w:pPr>
              <w:pStyle w:val="183"/>
            </w:pPr>
          </w:p>
        </w:tc>
        <w:tc>
          <w:tcPr>
            <w:tcW w:w="1367" w:type="pct"/>
            <w:vMerge w:val="continue"/>
            <w:vAlign w:val="center"/>
          </w:tcPr>
          <w:p w14:paraId="17C7E654">
            <w:pPr>
              <w:pStyle w:val="183"/>
            </w:pPr>
          </w:p>
        </w:tc>
        <w:tc>
          <w:tcPr>
            <w:tcW w:w="1594" w:type="pct"/>
            <w:vAlign w:val="center"/>
          </w:tcPr>
          <w:p w14:paraId="6ADBEC38">
            <w:pPr>
              <w:pStyle w:val="183"/>
            </w:pPr>
            <w:r>
              <w:rPr>
                <w:rFonts w:hint="eastAsia"/>
                <w:szCs w:val="18"/>
              </w:rPr>
              <w:t>花岗岩</w:t>
            </w:r>
          </w:p>
        </w:tc>
        <w:tc>
          <w:tcPr>
            <w:tcW w:w="1588" w:type="pct"/>
            <w:vAlign w:val="center"/>
          </w:tcPr>
          <w:p w14:paraId="12021A08">
            <w:pPr>
              <w:pStyle w:val="183"/>
            </w:pPr>
            <w:r>
              <w:rPr>
                <w:szCs w:val="18"/>
              </w:rPr>
              <w:t>GB/T 18601</w:t>
            </w:r>
          </w:p>
        </w:tc>
      </w:tr>
      <w:tr w14:paraId="53C148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160D7A50">
            <w:pPr>
              <w:pStyle w:val="183"/>
            </w:pPr>
          </w:p>
        </w:tc>
        <w:tc>
          <w:tcPr>
            <w:tcW w:w="1367" w:type="pct"/>
            <w:vMerge w:val="continue"/>
            <w:vAlign w:val="center"/>
          </w:tcPr>
          <w:p w14:paraId="1E19FCD9">
            <w:pPr>
              <w:pStyle w:val="183"/>
            </w:pPr>
          </w:p>
        </w:tc>
        <w:tc>
          <w:tcPr>
            <w:tcW w:w="1594" w:type="pct"/>
            <w:vAlign w:val="center"/>
          </w:tcPr>
          <w:p w14:paraId="6605C3A2">
            <w:pPr>
              <w:pStyle w:val="183"/>
            </w:pPr>
            <w:r>
              <w:rPr>
                <w:rFonts w:hint="eastAsia"/>
                <w:szCs w:val="18"/>
              </w:rPr>
              <w:t>石灰石</w:t>
            </w:r>
          </w:p>
        </w:tc>
        <w:tc>
          <w:tcPr>
            <w:tcW w:w="1588" w:type="pct"/>
            <w:vAlign w:val="center"/>
          </w:tcPr>
          <w:p w14:paraId="062EFD8A">
            <w:pPr>
              <w:pStyle w:val="183"/>
            </w:pPr>
            <w:r>
              <w:rPr>
                <w:rFonts w:hint="eastAsia"/>
                <w:szCs w:val="18"/>
              </w:rPr>
              <w:t>GB/T 23453</w:t>
            </w:r>
          </w:p>
        </w:tc>
      </w:tr>
      <w:tr w14:paraId="2AF094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3915F752">
            <w:pPr>
              <w:pStyle w:val="183"/>
            </w:pPr>
          </w:p>
        </w:tc>
        <w:tc>
          <w:tcPr>
            <w:tcW w:w="1367" w:type="pct"/>
            <w:vMerge w:val="continue"/>
            <w:vAlign w:val="center"/>
          </w:tcPr>
          <w:p w14:paraId="1ABDC9E0">
            <w:pPr>
              <w:pStyle w:val="183"/>
            </w:pPr>
          </w:p>
        </w:tc>
        <w:tc>
          <w:tcPr>
            <w:tcW w:w="1594" w:type="pct"/>
            <w:vAlign w:val="center"/>
          </w:tcPr>
          <w:p w14:paraId="7DF65BFB">
            <w:pPr>
              <w:pStyle w:val="183"/>
            </w:pPr>
            <w:r>
              <w:rPr>
                <w:rFonts w:hint="eastAsia"/>
                <w:szCs w:val="18"/>
              </w:rPr>
              <w:t>微晶玻璃</w:t>
            </w:r>
          </w:p>
        </w:tc>
        <w:tc>
          <w:tcPr>
            <w:tcW w:w="1588" w:type="pct"/>
            <w:vAlign w:val="center"/>
          </w:tcPr>
          <w:p w14:paraId="6F33A291">
            <w:pPr>
              <w:pStyle w:val="183"/>
            </w:pPr>
            <w:r>
              <w:rPr>
                <w:rFonts w:hint="eastAsia"/>
                <w:szCs w:val="18"/>
              </w:rPr>
              <w:t>JC/T 872</w:t>
            </w:r>
          </w:p>
        </w:tc>
      </w:tr>
      <w:tr w14:paraId="0260D1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6A80CE00">
            <w:pPr>
              <w:pStyle w:val="183"/>
            </w:pPr>
          </w:p>
        </w:tc>
        <w:tc>
          <w:tcPr>
            <w:tcW w:w="1367" w:type="pct"/>
            <w:vMerge w:val="continue"/>
            <w:vAlign w:val="center"/>
          </w:tcPr>
          <w:p w14:paraId="6A6BC6D7">
            <w:pPr>
              <w:pStyle w:val="183"/>
            </w:pPr>
          </w:p>
        </w:tc>
        <w:tc>
          <w:tcPr>
            <w:tcW w:w="1594" w:type="pct"/>
            <w:vAlign w:val="center"/>
          </w:tcPr>
          <w:p w14:paraId="43B81513">
            <w:pPr>
              <w:pStyle w:val="183"/>
            </w:pPr>
            <w:r>
              <w:rPr>
                <w:rFonts w:hint="eastAsia"/>
                <w:szCs w:val="18"/>
              </w:rPr>
              <w:t>不锈钢板</w:t>
            </w:r>
          </w:p>
        </w:tc>
        <w:tc>
          <w:tcPr>
            <w:tcW w:w="1588" w:type="pct"/>
            <w:vAlign w:val="center"/>
          </w:tcPr>
          <w:p w14:paraId="080D541F">
            <w:pPr>
              <w:pStyle w:val="183"/>
            </w:pPr>
            <w:r>
              <w:rPr>
                <w:rFonts w:hint="eastAsia"/>
                <w:szCs w:val="18"/>
              </w:rPr>
              <w:t>GB/T 4237或GB/T 3280</w:t>
            </w:r>
          </w:p>
        </w:tc>
      </w:tr>
      <w:tr w14:paraId="58B95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5740A481">
            <w:pPr>
              <w:pStyle w:val="183"/>
            </w:pPr>
          </w:p>
        </w:tc>
        <w:tc>
          <w:tcPr>
            <w:tcW w:w="1367" w:type="pct"/>
            <w:vMerge w:val="continue"/>
            <w:vAlign w:val="center"/>
          </w:tcPr>
          <w:p w14:paraId="65F3DF53">
            <w:pPr>
              <w:pStyle w:val="183"/>
            </w:pPr>
          </w:p>
        </w:tc>
        <w:tc>
          <w:tcPr>
            <w:tcW w:w="1594" w:type="pct"/>
            <w:vAlign w:val="center"/>
          </w:tcPr>
          <w:p w14:paraId="57CB6AA9">
            <w:pPr>
              <w:pStyle w:val="183"/>
            </w:pPr>
            <w:r>
              <w:rPr>
                <w:rFonts w:hint="eastAsia"/>
              </w:rPr>
              <w:t>陶瓷岩板</w:t>
            </w:r>
          </w:p>
        </w:tc>
        <w:tc>
          <w:tcPr>
            <w:tcW w:w="1588" w:type="pct"/>
            <w:vAlign w:val="center"/>
          </w:tcPr>
          <w:p w14:paraId="31C7CABC">
            <w:pPr>
              <w:pStyle w:val="183"/>
            </w:pPr>
            <w:r>
              <w:rPr>
                <w:rFonts w:hint="eastAsia"/>
              </w:rPr>
              <w:t>GB/T 44309</w:t>
            </w:r>
          </w:p>
        </w:tc>
      </w:tr>
      <w:tr w14:paraId="139F5D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58B23CDB">
            <w:pPr>
              <w:pStyle w:val="183"/>
            </w:pPr>
          </w:p>
        </w:tc>
        <w:tc>
          <w:tcPr>
            <w:tcW w:w="1367" w:type="pct"/>
            <w:vMerge w:val="continue"/>
            <w:vAlign w:val="center"/>
          </w:tcPr>
          <w:p w14:paraId="48D58230">
            <w:pPr>
              <w:pStyle w:val="183"/>
            </w:pPr>
          </w:p>
        </w:tc>
        <w:tc>
          <w:tcPr>
            <w:tcW w:w="1594" w:type="pct"/>
            <w:vAlign w:val="center"/>
          </w:tcPr>
          <w:p w14:paraId="41F0431B">
            <w:pPr>
              <w:pStyle w:val="183"/>
            </w:pPr>
            <w:r>
              <w:rPr>
                <w:rFonts w:hint="eastAsia"/>
              </w:rPr>
              <w:t>结构用竹集成材</w:t>
            </w:r>
          </w:p>
        </w:tc>
        <w:tc>
          <w:tcPr>
            <w:tcW w:w="1588" w:type="pct"/>
            <w:vAlign w:val="center"/>
          </w:tcPr>
          <w:p w14:paraId="394B2A37">
            <w:pPr>
              <w:pStyle w:val="183"/>
            </w:pPr>
            <w:r>
              <w:t>GB/T 40487</w:t>
            </w:r>
          </w:p>
        </w:tc>
      </w:tr>
      <w:tr w14:paraId="69C02E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63DDF81B">
            <w:pPr>
              <w:pStyle w:val="183"/>
            </w:pPr>
          </w:p>
        </w:tc>
        <w:tc>
          <w:tcPr>
            <w:tcW w:w="1367" w:type="pct"/>
            <w:vMerge w:val="continue"/>
            <w:vAlign w:val="center"/>
          </w:tcPr>
          <w:p w14:paraId="558408F6">
            <w:pPr>
              <w:pStyle w:val="183"/>
            </w:pPr>
          </w:p>
        </w:tc>
        <w:tc>
          <w:tcPr>
            <w:tcW w:w="1594" w:type="pct"/>
            <w:vAlign w:val="center"/>
          </w:tcPr>
          <w:p w14:paraId="4558A773">
            <w:pPr>
              <w:pStyle w:val="183"/>
            </w:pPr>
            <w:r>
              <w:rPr>
                <w:rFonts w:hint="eastAsia"/>
              </w:rPr>
              <w:t>重组竹</w:t>
            </w:r>
          </w:p>
        </w:tc>
        <w:tc>
          <w:tcPr>
            <w:tcW w:w="1588" w:type="pct"/>
            <w:vAlign w:val="center"/>
          </w:tcPr>
          <w:p w14:paraId="751CB7B2">
            <w:pPr>
              <w:pStyle w:val="183"/>
            </w:pPr>
            <w:r>
              <w:t>GB/T 40247</w:t>
            </w:r>
          </w:p>
        </w:tc>
      </w:tr>
      <w:tr w14:paraId="4233BC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0CC33605">
            <w:pPr>
              <w:pStyle w:val="183"/>
            </w:pPr>
          </w:p>
        </w:tc>
        <w:tc>
          <w:tcPr>
            <w:tcW w:w="1367" w:type="pct"/>
            <w:vMerge w:val="continue"/>
            <w:vAlign w:val="center"/>
          </w:tcPr>
          <w:p w14:paraId="37FC066E">
            <w:pPr>
              <w:pStyle w:val="183"/>
            </w:pPr>
          </w:p>
        </w:tc>
        <w:tc>
          <w:tcPr>
            <w:tcW w:w="1594" w:type="pct"/>
            <w:vAlign w:val="center"/>
          </w:tcPr>
          <w:p w14:paraId="5A8F6EAB">
            <w:pPr>
              <w:pStyle w:val="183"/>
            </w:pPr>
            <w:r>
              <w:rPr>
                <w:rFonts w:hint="eastAsia"/>
              </w:rPr>
              <w:t>结构用竹篾层积材</w:t>
            </w:r>
          </w:p>
        </w:tc>
        <w:tc>
          <w:tcPr>
            <w:tcW w:w="1588" w:type="pct"/>
            <w:vAlign w:val="center"/>
          </w:tcPr>
          <w:p w14:paraId="4B95859D">
            <w:pPr>
              <w:pStyle w:val="183"/>
            </w:pPr>
            <w:r>
              <w:t>GB/T 38071</w:t>
            </w:r>
          </w:p>
        </w:tc>
      </w:tr>
      <w:tr w14:paraId="1D9DC3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55D99D6C">
            <w:pPr>
              <w:pStyle w:val="183"/>
            </w:pPr>
          </w:p>
        </w:tc>
        <w:tc>
          <w:tcPr>
            <w:tcW w:w="1367" w:type="pct"/>
            <w:vMerge w:val="continue"/>
            <w:vAlign w:val="center"/>
          </w:tcPr>
          <w:p w14:paraId="18792602">
            <w:pPr>
              <w:pStyle w:val="183"/>
            </w:pPr>
          </w:p>
        </w:tc>
        <w:tc>
          <w:tcPr>
            <w:tcW w:w="1594" w:type="pct"/>
            <w:vAlign w:val="center"/>
          </w:tcPr>
          <w:p w14:paraId="7AB3D22C">
            <w:pPr>
              <w:pStyle w:val="183"/>
            </w:pPr>
            <w:r>
              <w:rPr>
                <w:rFonts w:hint="eastAsia"/>
              </w:rPr>
              <w:t>结构用竹木复合板</w:t>
            </w:r>
          </w:p>
        </w:tc>
        <w:tc>
          <w:tcPr>
            <w:tcW w:w="1588" w:type="pct"/>
            <w:vAlign w:val="center"/>
          </w:tcPr>
          <w:p w14:paraId="5F92CBB5">
            <w:pPr>
              <w:pStyle w:val="183"/>
            </w:pPr>
            <w:r>
              <w:t>GB/T 21128</w:t>
            </w:r>
          </w:p>
        </w:tc>
      </w:tr>
      <w:tr w14:paraId="27F733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48745D3C">
            <w:pPr>
              <w:pStyle w:val="183"/>
            </w:pPr>
          </w:p>
        </w:tc>
        <w:tc>
          <w:tcPr>
            <w:tcW w:w="1367" w:type="pct"/>
            <w:vMerge w:val="continue"/>
            <w:vAlign w:val="center"/>
          </w:tcPr>
          <w:p w14:paraId="33299399">
            <w:pPr>
              <w:pStyle w:val="183"/>
            </w:pPr>
          </w:p>
        </w:tc>
        <w:tc>
          <w:tcPr>
            <w:tcW w:w="1594" w:type="pct"/>
            <w:vAlign w:val="center"/>
          </w:tcPr>
          <w:p w14:paraId="5D103563">
            <w:pPr>
              <w:pStyle w:val="183"/>
            </w:pPr>
            <w:r>
              <w:rPr>
                <w:rFonts w:hint="eastAsia"/>
              </w:rPr>
              <w:t>竹单板饰面人造板</w:t>
            </w:r>
          </w:p>
        </w:tc>
        <w:tc>
          <w:tcPr>
            <w:tcW w:w="1588" w:type="pct"/>
            <w:vAlign w:val="center"/>
          </w:tcPr>
          <w:p w14:paraId="51DD0AE1">
            <w:pPr>
              <w:pStyle w:val="183"/>
            </w:pPr>
            <w:r>
              <w:t>GB/T 21129</w:t>
            </w:r>
          </w:p>
        </w:tc>
      </w:tr>
      <w:tr w14:paraId="414922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517FA691">
            <w:pPr>
              <w:pStyle w:val="183"/>
            </w:pPr>
          </w:p>
        </w:tc>
        <w:tc>
          <w:tcPr>
            <w:tcW w:w="1367" w:type="pct"/>
            <w:vMerge w:val="continue"/>
            <w:vAlign w:val="center"/>
          </w:tcPr>
          <w:p w14:paraId="2925E630">
            <w:pPr>
              <w:pStyle w:val="183"/>
            </w:pPr>
          </w:p>
        </w:tc>
        <w:tc>
          <w:tcPr>
            <w:tcW w:w="1594" w:type="pct"/>
            <w:vAlign w:val="center"/>
          </w:tcPr>
          <w:p w14:paraId="2DFC8D4A">
            <w:pPr>
              <w:pStyle w:val="183"/>
            </w:pPr>
            <w:r>
              <w:rPr>
                <w:rFonts w:hint="eastAsia"/>
              </w:rPr>
              <w:t>竹编胶合板</w:t>
            </w:r>
          </w:p>
        </w:tc>
        <w:tc>
          <w:tcPr>
            <w:tcW w:w="1588" w:type="pct"/>
            <w:vAlign w:val="center"/>
          </w:tcPr>
          <w:p w14:paraId="4CC51F28">
            <w:pPr>
              <w:pStyle w:val="183"/>
            </w:pPr>
            <w:r>
              <w:t>GB/T 13123</w:t>
            </w:r>
          </w:p>
        </w:tc>
      </w:tr>
      <w:tr w14:paraId="2BA995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restart"/>
            <w:vAlign w:val="center"/>
          </w:tcPr>
          <w:p w14:paraId="2DAE918C">
            <w:pPr>
              <w:pStyle w:val="183"/>
            </w:pPr>
            <w:r>
              <w:rPr>
                <w:rFonts w:hint="eastAsia"/>
              </w:rPr>
              <w:t>4</w:t>
            </w:r>
          </w:p>
        </w:tc>
        <w:tc>
          <w:tcPr>
            <w:tcW w:w="1367" w:type="pct"/>
            <w:vMerge w:val="restart"/>
            <w:vAlign w:val="center"/>
          </w:tcPr>
          <w:p w14:paraId="1D1267A0">
            <w:pPr>
              <w:pStyle w:val="183"/>
            </w:pPr>
            <w:r>
              <w:rPr>
                <w:rFonts w:hint="eastAsia"/>
              </w:rPr>
              <w:t>辅助材料</w:t>
            </w:r>
          </w:p>
        </w:tc>
        <w:tc>
          <w:tcPr>
            <w:tcW w:w="1594" w:type="pct"/>
            <w:vAlign w:val="center"/>
          </w:tcPr>
          <w:p w14:paraId="661E2EB4">
            <w:pPr>
              <w:pStyle w:val="183"/>
            </w:pPr>
            <w:r>
              <w:rPr>
                <w:rFonts w:hint="eastAsia"/>
                <w:szCs w:val="18"/>
              </w:rPr>
              <w:t>抽导轨</w:t>
            </w:r>
          </w:p>
        </w:tc>
        <w:tc>
          <w:tcPr>
            <w:tcW w:w="1588" w:type="pct"/>
            <w:vAlign w:val="center"/>
          </w:tcPr>
          <w:p w14:paraId="2EF29778">
            <w:pPr>
              <w:pStyle w:val="183"/>
            </w:pPr>
            <w:r>
              <w:rPr>
                <w:rFonts w:hint="eastAsia"/>
                <w:szCs w:val="18"/>
              </w:rPr>
              <w:t>QB/T 2454</w:t>
            </w:r>
          </w:p>
        </w:tc>
      </w:tr>
      <w:tr w14:paraId="7A0FFC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51" w:type="pct"/>
            <w:vMerge w:val="continue"/>
          </w:tcPr>
          <w:p w14:paraId="23DA726D">
            <w:pPr>
              <w:pStyle w:val="183"/>
            </w:pPr>
          </w:p>
        </w:tc>
        <w:tc>
          <w:tcPr>
            <w:tcW w:w="1367" w:type="pct"/>
            <w:vMerge w:val="continue"/>
            <w:vAlign w:val="center"/>
          </w:tcPr>
          <w:p w14:paraId="0E648848">
            <w:pPr>
              <w:pStyle w:val="183"/>
            </w:pPr>
          </w:p>
        </w:tc>
        <w:tc>
          <w:tcPr>
            <w:tcW w:w="1594" w:type="pct"/>
            <w:vAlign w:val="center"/>
          </w:tcPr>
          <w:p w14:paraId="41CCECFA">
            <w:pPr>
              <w:pStyle w:val="183"/>
              <w:rPr>
                <w:szCs w:val="18"/>
              </w:rPr>
            </w:pPr>
            <w:r>
              <w:rPr>
                <w:rFonts w:hint="eastAsia"/>
                <w:szCs w:val="18"/>
              </w:rPr>
              <w:t>家具用合页</w:t>
            </w:r>
          </w:p>
        </w:tc>
        <w:tc>
          <w:tcPr>
            <w:tcW w:w="1588" w:type="pct"/>
            <w:vAlign w:val="center"/>
          </w:tcPr>
          <w:p w14:paraId="6DABFCD9">
            <w:pPr>
              <w:pStyle w:val="183"/>
              <w:rPr>
                <w:szCs w:val="18"/>
              </w:rPr>
            </w:pPr>
            <w:r>
              <w:rPr>
                <w:rFonts w:hint="eastAsia"/>
                <w:szCs w:val="18"/>
              </w:rPr>
              <w:t>QB/T 4595.1、QB/T 4595.2、QB/T 4595.3、QB/T 4595.4、QB/T 4595.5 、QB/T 4595.6或QB/T 4595.7</w:t>
            </w:r>
          </w:p>
        </w:tc>
      </w:tr>
      <w:tr w14:paraId="03895B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5250FBB6">
            <w:pPr>
              <w:pStyle w:val="183"/>
            </w:pPr>
          </w:p>
        </w:tc>
        <w:tc>
          <w:tcPr>
            <w:tcW w:w="1367" w:type="pct"/>
            <w:vMerge w:val="continue"/>
            <w:vAlign w:val="center"/>
          </w:tcPr>
          <w:p w14:paraId="07D54811">
            <w:pPr>
              <w:pStyle w:val="183"/>
            </w:pPr>
          </w:p>
        </w:tc>
        <w:tc>
          <w:tcPr>
            <w:tcW w:w="1594" w:type="pct"/>
            <w:vAlign w:val="center"/>
          </w:tcPr>
          <w:p w14:paraId="1C3A6A94">
            <w:pPr>
              <w:pStyle w:val="183"/>
              <w:rPr>
                <w:szCs w:val="18"/>
              </w:rPr>
            </w:pPr>
            <w:r>
              <w:rPr>
                <w:rFonts w:hint="eastAsia"/>
                <w:szCs w:val="18"/>
              </w:rPr>
              <w:t>门窗用合页</w:t>
            </w:r>
          </w:p>
        </w:tc>
        <w:tc>
          <w:tcPr>
            <w:tcW w:w="1588" w:type="pct"/>
            <w:vAlign w:val="center"/>
          </w:tcPr>
          <w:p w14:paraId="08175E4D">
            <w:pPr>
              <w:pStyle w:val="183"/>
              <w:rPr>
                <w:szCs w:val="18"/>
              </w:rPr>
            </w:pPr>
            <w:r>
              <w:rPr>
                <w:rFonts w:hint="eastAsia"/>
                <w:szCs w:val="18"/>
              </w:rPr>
              <w:t>JG/T 125</w:t>
            </w:r>
          </w:p>
        </w:tc>
      </w:tr>
      <w:tr w14:paraId="329A8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4790F1C5">
            <w:pPr>
              <w:pStyle w:val="183"/>
            </w:pPr>
          </w:p>
        </w:tc>
        <w:tc>
          <w:tcPr>
            <w:tcW w:w="1367" w:type="pct"/>
            <w:vMerge w:val="continue"/>
            <w:vAlign w:val="center"/>
          </w:tcPr>
          <w:p w14:paraId="1E97EE6E">
            <w:pPr>
              <w:pStyle w:val="183"/>
            </w:pPr>
          </w:p>
        </w:tc>
        <w:tc>
          <w:tcPr>
            <w:tcW w:w="1594" w:type="pct"/>
            <w:vAlign w:val="center"/>
          </w:tcPr>
          <w:p w14:paraId="45A2BFF6">
            <w:pPr>
              <w:pStyle w:val="183"/>
              <w:rPr>
                <w:szCs w:val="18"/>
              </w:rPr>
            </w:pPr>
            <w:r>
              <w:rPr>
                <w:rFonts w:hint="eastAsia"/>
                <w:szCs w:val="18"/>
              </w:rPr>
              <w:t>铝合金型材</w:t>
            </w:r>
          </w:p>
        </w:tc>
        <w:tc>
          <w:tcPr>
            <w:tcW w:w="1588" w:type="pct"/>
            <w:vAlign w:val="center"/>
          </w:tcPr>
          <w:p w14:paraId="0FAB1D95">
            <w:pPr>
              <w:pStyle w:val="183"/>
              <w:rPr>
                <w:szCs w:val="18"/>
              </w:rPr>
            </w:pPr>
            <w:r>
              <w:rPr>
                <w:rFonts w:hint="eastAsia"/>
                <w:szCs w:val="18"/>
              </w:rPr>
              <w:t>GB/T 5237.2、GB/T 5237.3 、 GB/T 5237.4或</w:t>
            </w:r>
            <w:r>
              <w:rPr>
                <w:szCs w:val="18"/>
              </w:rPr>
              <w:t>GB/T 5237.5</w:t>
            </w:r>
          </w:p>
        </w:tc>
      </w:tr>
      <w:tr w14:paraId="234BB8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6E70DE90">
            <w:pPr>
              <w:pStyle w:val="183"/>
            </w:pPr>
          </w:p>
        </w:tc>
        <w:tc>
          <w:tcPr>
            <w:tcW w:w="1367" w:type="pct"/>
            <w:vMerge w:val="continue"/>
            <w:vAlign w:val="center"/>
          </w:tcPr>
          <w:p w14:paraId="7B173FC2">
            <w:pPr>
              <w:pStyle w:val="183"/>
            </w:pPr>
          </w:p>
        </w:tc>
        <w:tc>
          <w:tcPr>
            <w:tcW w:w="1594" w:type="pct"/>
            <w:vAlign w:val="center"/>
          </w:tcPr>
          <w:p w14:paraId="45F5E2A6">
            <w:pPr>
              <w:pStyle w:val="183"/>
              <w:rPr>
                <w:szCs w:val="18"/>
              </w:rPr>
            </w:pPr>
            <w:r>
              <w:rPr>
                <w:rFonts w:hint="eastAsia"/>
              </w:rPr>
              <w:t>钢构件</w:t>
            </w:r>
          </w:p>
        </w:tc>
        <w:tc>
          <w:tcPr>
            <w:tcW w:w="1588" w:type="pct"/>
            <w:vAlign w:val="center"/>
          </w:tcPr>
          <w:p w14:paraId="0504C6CF">
            <w:pPr>
              <w:pStyle w:val="183"/>
              <w:rPr>
                <w:szCs w:val="18"/>
              </w:rPr>
            </w:pPr>
            <w:r>
              <w:rPr>
                <w:rFonts w:hint="eastAsia"/>
              </w:rPr>
              <w:t>QB/T 4767</w:t>
            </w:r>
          </w:p>
        </w:tc>
      </w:tr>
    </w:tbl>
    <w:p w14:paraId="2AE3CE63">
      <w:pPr>
        <w:pStyle w:val="61"/>
        <w:spacing w:before="156" w:beforeLines="50" w:after="156" w:afterLines="50"/>
        <w:ind w:firstLine="0" w:firstLineChars="0"/>
        <w:rPr>
          <w:rFonts w:hint="eastAsia" w:ascii="黑体" w:hAnsi="黑体" w:eastAsia="黑体"/>
        </w:rPr>
      </w:pPr>
    </w:p>
    <w:p w14:paraId="0071843C">
      <w:pPr>
        <w:pStyle w:val="61"/>
        <w:spacing w:before="156" w:beforeLines="50" w:after="156" w:afterLines="50"/>
        <w:ind w:firstLine="0" w:firstLineChars="0"/>
        <w:rPr>
          <w:rFonts w:hint="eastAsia" w:ascii="黑体" w:hAnsi="黑体" w:eastAsia="黑体"/>
        </w:rPr>
      </w:pPr>
    </w:p>
    <w:p w14:paraId="1DEAA43A">
      <w:pPr>
        <w:pStyle w:val="61"/>
        <w:spacing w:before="156" w:beforeLines="50" w:after="156" w:afterLines="50"/>
        <w:ind w:firstLine="0" w:firstLineChars="0"/>
        <w:jc w:val="center"/>
        <w:rPr>
          <w:rFonts w:hint="eastAsia" w:ascii="黑体" w:hAnsi="黑体" w:eastAsia="黑体"/>
        </w:rPr>
      </w:pPr>
      <w:r>
        <w:rPr>
          <w:rFonts w:hint="eastAsia" w:ascii="黑体" w:hAnsi="黑体" w:eastAsia="黑体"/>
        </w:rPr>
        <w:t>表A.1  主要原辅材料要求</w:t>
      </w:r>
      <w:r>
        <w:rPr>
          <w:rFonts w:hint="eastAsia" w:hAnsi="宋体"/>
        </w:rPr>
        <w:t>（续）</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6"/>
        <w:gridCol w:w="2563"/>
        <w:gridCol w:w="2705"/>
        <w:gridCol w:w="3260"/>
      </w:tblGrid>
      <w:tr w14:paraId="78580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51" w:type="pct"/>
          </w:tcPr>
          <w:p w14:paraId="4DAB01EA">
            <w:pPr>
              <w:pStyle w:val="183"/>
            </w:pPr>
            <w:r>
              <w:rPr>
                <w:rFonts w:hint="eastAsia"/>
              </w:rPr>
              <w:t>序号</w:t>
            </w:r>
          </w:p>
        </w:tc>
        <w:tc>
          <w:tcPr>
            <w:tcW w:w="1367" w:type="pct"/>
            <w:tcBorders>
              <w:top w:val="single" w:color="auto" w:sz="8" w:space="0"/>
              <w:bottom w:val="single" w:color="auto" w:sz="8" w:space="0"/>
            </w:tcBorders>
            <w:vAlign w:val="center"/>
          </w:tcPr>
          <w:p w14:paraId="34753FDE">
            <w:pPr>
              <w:pStyle w:val="183"/>
            </w:pPr>
            <w:r>
              <w:rPr>
                <w:rFonts w:hint="eastAsia"/>
              </w:rPr>
              <w:t>种类</w:t>
            </w:r>
          </w:p>
        </w:tc>
        <w:tc>
          <w:tcPr>
            <w:tcW w:w="1443" w:type="pct"/>
            <w:tcBorders>
              <w:top w:val="single" w:color="auto" w:sz="8" w:space="0"/>
              <w:bottom w:val="single" w:color="auto" w:sz="8" w:space="0"/>
            </w:tcBorders>
            <w:vAlign w:val="center"/>
          </w:tcPr>
          <w:p w14:paraId="111FFF51">
            <w:pPr>
              <w:pStyle w:val="183"/>
            </w:pPr>
            <w:r>
              <w:rPr>
                <w:rFonts w:hint="eastAsia"/>
              </w:rPr>
              <w:t>细分类</w:t>
            </w:r>
          </w:p>
        </w:tc>
        <w:tc>
          <w:tcPr>
            <w:tcW w:w="1739" w:type="pct"/>
            <w:tcBorders>
              <w:top w:val="single" w:color="auto" w:sz="8" w:space="0"/>
              <w:bottom w:val="single" w:color="auto" w:sz="8" w:space="0"/>
            </w:tcBorders>
            <w:vAlign w:val="center"/>
          </w:tcPr>
          <w:p w14:paraId="13928DD6">
            <w:pPr>
              <w:pStyle w:val="183"/>
            </w:pPr>
            <w:r>
              <w:rPr>
                <w:rFonts w:hint="eastAsia"/>
              </w:rPr>
              <w:t>应符合的标准</w:t>
            </w:r>
          </w:p>
        </w:tc>
      </w:tr>
      <w:tr w14:paraId="680B9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restart"/>
            <w:vAlign w:val="center"/>
          </w:tcPr>
          <w:p w14:paraId="6358D529">
            <w:pPr>
              <w:pStyle w:val="183"/>
              <w:jc w:val="center"/>
            </w:pPr>
            <w:r>
              <w:rPr>
                <w:rFonts w:hint="eastAsia"/>
              </w:rPr>
              <w:t>4</w:t>
            </w:r>
          </w:p>
        </w:tc>
        <w:tc>
          <w:tcPr>
            <w:tcW w:w="1367" w:type="pct"/>
            <w:vMerge w:val="restart"/>
            <w:vAlign w:val="center"/>
          </w:tcPr>
          <w:p w14:paraId="61F66B1F">
            <w:pPr>
              <w:pStyle w:val="183"/>
            </w:pPr>
            <w:r>
              <w:rPr>
                <w:rFonts w:hint="eastAsia"/>
              </w:rPr>
              <w:t>辅助材料</w:t>
            </w:r>
          </w:p>
        </w:tc>
        <w:tc>
          <w:tcPr>
            <w:tcW w:w="1443" w:type="pct"/>
            <w:vAlign w:val="center"/>
          </w:tcPr>
          <w:p w14:paraId="45786D50">
            <w:pPr>
              <w:pStyle w:val="183"/>
              <w:rPr>
                <w:szCs w:val="18"/>
              </w:rPr>
            </w:pPr>
            <w:r>
              <w:rPr>
                <w:rFonts w:hint="eastAsia"/>
                <w:szCs w:val="18"/>
              </w:rPr>
              <w:t>封边条</w:t>
            </w:r>
          </w:p>
        </w:tc>
        <w:tc>
          <w:tcPr>
            <w:tcW w:w="1739" w:type="pct"/>
            <w:vAlign w:val="center"/>
          </w:tcPr>
          <w:p w14:paraId="380662DD">
            <w:pPr>
              <w:pStyle w:val="183"/>
              <w:rPr>
                <w:szCs w:val="18"/>
              </w:rPr>
            </w:pPr>
            <w:r>
              <w:rPr>
                <w:rFonts w:hint="eastAsia"/>
                <w:szCs w:val="18"/>
              </w:rPr>
              <w:t>QB/T 4463</w:t>
            </w:r>
          </w:p>
        </w:tc>
      </w:tr>
      <w:tr w14:paraId="6E480A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1FFCFB46">
            <w:pPr>
              <w:pStyle w:val="183"/>
            </w:pPr>
          </w:p>
        </w:tc>
        <w:tc>
          <w:tcPr>
            <w:tcW w:w="1367" w:type="pct"/>
            <w:vMerge w:val="continue"/>
            <w:vAlign w:val="center"/>
          </w:tcPr>
          <w:p w14:paraId="47405FD5">
            <w:pPr>
              <w:pStyle w:val="183"/>
            </w:pPr>
          </w:p>
        </w:tc>
        <w:tc>
          <w:tcPr>
            <w:tcW w:w="1443" w:type="pct"/>
            <w:vAlign w:val="center"/>
          </w:tcPr>
          <w:p w14:paraId="0BA93916">
            <w:pPr>
              <w:pStyle w:val="183"/>
              <w:rPr>
                <w:szCs w:val="18"/>
              </w:rPr>
            </w:pPr>
            <w:r>
              <w:rPr>
                <w:rFonts w:hint="eastAsia"/>
                <w:szCs w:val="18"/>
              </w:rPr>
              <w:t>拉手</w:t>
            </w:r>
          </w:p>
        </w:tc>
        <w:tc>
          <w:tcPr>
            <w:tcW w:w="1739" w:type="pct"/>
            <w:vAlign w:val="center"/>
          </w:tcPr>
          <w:p w14:paraId="75FFB823">
            <w:pPr>
              <w:pStyle w:val="183"/>
              <w:rPr>
                <w:szCs w:val="18"/>
              </w:rPr>
            </w:pPr>
            <w:r>
              <w:rPr>
                <w:rFonts w:hint="eastAsia"/>
                <w:szCs w:val="18"/>
              </w:rPr>
              <w:t>QB/T 1242</w:t>
            </w:r>
          </w:p>
        </w:tc>
      </w:tr>
      <w:tr w14:paraId="6FAB17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5CD81BCF">
            <w:pPr>
              <w:pStyle w:val="183"/>
            </w:pPr>
          </w:p>
        </w:tc>
        <w:tc>
          <w:tcPr>
            <w:tcW w:w="1367" w:type="pct"/>
            <w:vMerge w:val="continue"/>
            <w:vAlign w:val="center"/>
          </w:tcPr>
          <w:p w14:paraId="69AFBBD3">
            <w:pPr>
              <w:pStyle w:val="183"/>
            </w:pPr>
          </w:p>
        </w:tc>
        <w:tc>
          <w:tcPr>
            <w:tcW w:w="1443" w:type="pct"/>
            <w:vAlign w:val="center"/>
          </w:tcPr>
          <w:p w14:paraId="15C56F83">
            <w:pPr>
              <w:pStyle w:val="183"/>
              <w:rPr>
                <w:szCs w:val="18"/>
              </w:rPr>
            </w:pPr>
            <w:r>
              <w:rPr>
                <w:rFonts w:hint="eastAsia"/>
                <w:szCs w:val="18"/>
              </w:rPr>
              <w:t>导轨</w:t>
            </w:r>
          </w:p>
        </w:tc>
        <w:tc>
          <w:tcPr>
            <w:tcW w:w="1739" w:type="pct"/>
            <w:vAlign w:val="center"/>
          </w:tcPr>
          <w:p w14:paraId="5253B09B">
            <w:pPr>
              <w:pStyle w:val="183"/>
              <w:rPr>
                <w:szCs w:val="18"/>
                <w:highlight w:val="none"/>
              </w:rPr>
            </w:pPr>
            <w:r>
              <w:rPr>
                <w:rFonts w:hint="eastAsia"/>
                <w:szCs w:val="18"/>
                <w:highlight w:val="none"/>
              </w:rPr>
              <w:t>QB/T 2454和QB/T 1242</w:t>
            </w:r>
          </w:p>
        </w:tc>
      </w:tr>
      <w:tr w14:paraId="5DEB23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11A236C3">
            <w:pPr>
              <w:pStyle w:val="183"/>
            </w:pPr>
          </w:p>
        </w:tc>
        <w:tc>
          <w:tcPr>
            <w:tcW w:w="1367" w:type="pct"/>
            <w:vMerge w:val="continue"/>
            <w:vAlign w:val="center"/>
          </w:tcPr>
          <w:p w14:paraId="171B8320">
            <w:pPr>
              <w:pStyle w:val="183"/>
            </w:pPr>
          </w:p>
        </w:tc>
        <w:tc>
          <w:tcPr>
            <w:tcW w:w="1443" w:type="pct"/>
            <w:vAlign w:val="center"/>
          </w:tcPr>
          <w:p w14:paraId="15822384">
            <w:pPr>
              <w:pStyle w:val="183"/>
              <w:rPr>
                <w:szCs w:val="18"/>
              </w:rPr>
            </w:pPr>
            <w:r>
              <w:rPr>
                <w:rFonts w:hint="eastAsia"/>
                <w:szCs w:val="18"/>
              </w:rPr>
              <w:t>铰链</w:t>
            </w:r>
          </w:p>
        </w:tc>
        <w:tc>
          <w:tcPr>
            <w:tcW w:w="1739" w:type="pct"/>
            <w:vAlign w:val="center"/>
          </w:tcPr>
          <w:p w14:paraId="3C993DF8">
            <w:pPr>
              <w:pStyle w:val="183"/>
              <w:rPr>
                <w:szCs w:val="18"/>
              </w:rPr>
            </w:pPr>
            <w:r>
              <w:rPr>
                <w:rFonts w:hint="eastAsia"/>
                <w:szCs w:val="18"/>
              </w:rPr>
              <w:t>QB/T 2189和QB/T 1242</w:t>
            </w:r>
          </w:p>
        </w:tc>
      </w:tr>
      <w:tr w14:paraId="7563EC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20C60E68">
            <w:pPr>
              <w:pStyle w:val="183"/>
            </w:pPr>
          </w:p>
        </w:tc>
        <w:tc>
          <w:tcPr>
            <w:tcW w:w="1367" w:type="pct"/>
            <w:vMerge w:val="continue"/>
            <w:vAlign w:val="center"/>
          </w:tcPr>
          <w:p w14:paraId="692366F9">
            <w:pPr>
              <w:pStyle w:val="183"/>
            </w:pPr>
          </w:p>
        </w:tc>
        <w:tc>
          <w:tcPr>
            <w:tcW w:w="1443" w:type="pct"/>
            <w:vAlign w:val="center"/>
          </w:tcPr>
          <w:p w14:paraId="0E324B55">
            <w:pPr>
              <w:pStyle w:val="183"/>
              <w:rPr>
                <w:szCs w:val="18"/>
              </w:rPr>
            </w:pPr>
            <w:r>
              <w:rPr>
                <w:rFonts w:hint="eastAsia"/>
                <w:szCs w:val="18"/>
              </w:rPr>
              <w:t>连接件</w:t>
            </w:r>
          </w:p>
        </w:tc>
        <w:tc>
          <w:tcPr>
            <w:tcW w:w="1739" w:type="pct"/>
            <w:vAlign w:val="center"/>
          </w:tcPr>
          <w:p w14:paraId="3A80AC6F">
            <w:pPr>
              <w:pStyle w:val="183"/>
              <w:rPr>
                <w:szCs w:val="18"/>
              </w:rPr>
            </w:pPr>
            <w:r>
              <w:rPr>
                <w:rFonts w:hint="eastAsia"/>
                <w:szCs w:val="18"/>
              </w:rPr>
              <w:t>GB/T 28203</w:t>
            </w:r>
          </w:p>
        </w:tc>
      </w:tr>
      <w:tr w14:paraId="559472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157F4897">
            <w:pPr>
              <w:pStyle w:val="183"/>
            </w:pPr>
          </w:p>
        </w:tc>
        <w:tc>
          <w:tcPr>
            <w:tcW w:w="1367" w:type="pct"/>
            <w:vMerge w:val="continue"/>
            <w:vAlign w:val="center"/>
          </w:tcPr>
          <w:p w14:paraId="4F10889E">
            <w:pPr>
              <w:pStyle w:val="183"/>
            </w:pPr>
          </w:p>
        </w:tc>
        <w:tc>
          <w:tcPr>
            <w:tcW w:w="1443" w:type="pct"/>
            <w:vAlign w:val="center"/>
          </w:tcPr>
          <w:p w14:paraId="48560557">
            <w:pPr>
              <w:pStyle w:val="183"/>
              <w:rPr>
                <w:szCs w:val="18"/>
              </w:rPr>
            </w:pPr>
            <w:r>
              <w:rPr>
                <w:rFonts w:hint="eastAsia"/>
                <w:szCs w:val="18"/>
              </w:rPr>
              <w:t>脚轮</w:t>
            </w:r>
          </w:p>
        </w:tc>
        <w:tc>
          <w:tcPr>
            <w:tcW w:w="1739" w:type="pct"/>
            <w:vAlign w:val="center"/>
          </w:tcPr>
          <w:p w14:paraId="2717C2AF">
            <w:pPr>
              <w:pStyle w:val="183"/>
              <w:rPr>
                <w:szCs w:val="18"/>
              </w:rPr>
            </w:pPr>
            <w:r>
              <w:rPr>
                <w:rFonts w:hint="eastAsia"/>
                <w:szCs w:val="18"/>
              </w:rPr>
              <w:t>QB/T 4765</w:t>
            </w:r>
          </w:p>
        </w:tc>
      </w:tr>
      <w:tr w14:paraId="3060E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3AF9FB9C">
            <w:pPr>
              <w:pStyle w:val="183"/>
            </w:pPr>
          </w:p>
        </w:tc>
        <w:tc>
          <w:tcPr>
            <w:tcW w:w="1367" w:type="pct"/>
            <w:vMerge w:val="continue"/>
            <w:vAlign w:val="center"/>
          </w:tcPr>
          <w:p w14:paraId="2336585B">
            <w:pPr>
              <w:pStyle w:val="183"/>
            </w:pPr>
          </w:p>
        </w:tc>
        <w:tc>
          <w:tcPr>
            <w:tcW w:w="1443" w:type="pct"/>
            <w:vAlign w:val="center"/>
          </w:tcPr>
          <w:p w14:paraId="76E855E0">
            <w:pPr>
              <w:pStyle w:val="183"/>
              <w:rPr>
                <w:szCs w:val="18"/>
              </w:rPr>
            </w:pPr>
            <w:r>
              <w:rPr>
                <w:rFonts w:hint="eastAsia"/>
                <w:szCs w:val="18"/>
              </w:rPr>
              <w:t>皮革</w:t>
            </w:r>
          </w:p>
        </w:tc>
        <w:tc>
          <w:tcPr>
            <w:tcW w:w="1739" w:type="pct"/>
            <w:vAlign w:val="center"/>
          </w:tcPr>
          <w:p w14:paraId="4A3362C4">
            <w:pPr>
              <w:pStyle w:val="183"/>
              <w:rPr>
                <w:szCs w:val="18"/>
              </w:rPr>
            </w:pPr>
            <w:r>
              <w:rPr>
                <w:rFonts w:hint="eastAsia"/>
                <w:szCs w:val="18"/>
              </w:rPr>
              <w:t>GB/T 16799</w:t>
            </w:r>
          </w:p>
        </w:tc>
      </w:tr>
      <w:tr w14:paraId="3CBB18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10338026">
            <w:pPr>
              <w:pStyle w:val="183"/>
            </w:pPr>
          </w:p>
        </w:tc>
        <w:tc>
          <w:tcPr>
            <w:tcW w:w="1367" w:type="pct"/>
            <w:vMerge w:val="continue"/>
            <w:vAlign w:val="center"/>
          </w:tcPr>
          <w:p w14:paraId="22C7FDB6">
            <w:pPr>
              <w:pStyle w:val="183"/>
            </w:pPr>
          </w:p>
        </w:tc>
        <w:tc>
          <w:tcPr>
            <w:tcW w:w="1443" w:type="pct"/>
            <w:vAlign w:val="center"/>
          </w:tcPr>
          <w:p w14:paraId="6D5CE2AA">
            <w:pPr>
              <w:pStyle w:val="183"/>
              <w:rPr>
                <w:szCs w:val="18"/>
              </w:rPr>
            </w:pPr>
            <w:r>
              <w:rPr>
                <w:rFonts w:hint="eastAsia"/>
              </w:rPr>
              <w:t>纺织面料</w:t>
            </w:r>
          </w:p>
        </w:tc>
        <w:tc>
          <w:tcPr>
            <w:tcW w:w="1739" w:type="pct"/>
            <w:vAlign w:val="center"/>
          </w:tcPr>
          <w:p w14:paraId="1F7092C3">
            <w:pPr>
              <w:pStyle w:val="183"/>
              <w:rPr>
                <w:szCs w:val="18"/>
              </w:rPr>
            </w:pPr>
            <w:r>
              <w:rPr>
                <w:rFonts w:hint="eastAsia"/>
              </w:rPr>
              <w:t>GB 18401</w:t>
            </w:r>
          </w:p>
        </w:tc>
      </w:tr>
      <w:tr w14:paraId="22380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709B98A4">
            <w:pPr>
              <w:pStyle w:val="183"/>
            </w:pPr>
          </w:p>
        </w:tc>
        <w:tc>
          <w:tcPr>
            <w:tcW w:w="1367" w:type="pct"/>
            <w:vMerge w:val="continue"/>
            <w:vAlign w:val="center"/>
          </w:tcPr>
          <w:p w14:paraId="1C3BB60E">
            <w:pPr>
              <w:pStyle w:val="183"/>
            </w:pPr>
          </w:p>
        </w:tc>
        <w:tc>
          <w:tcPr>
            <w:tcW w:w="1443" w:type="pct"/>
            <w:vAlign w:val="center"/>
          </w:tcPr>
          <w:p w14:paraId="39C3EEE9">
            <w:pPr>
              <w:pStyle w:val="183"/>
              <w:rPr>
                <w:szCs w:val="18"/>
              </w:rPr>
            </w:pPr>
            <w:r>
              <w:rPr>
                <w:rFonts w:hint="eastAsia"/>
                <w:szCs w:val="18"/>
              </w:rPr>
              <w:t>聚氯乙烯人造革</w:t>
            </w:r>
          </w:p>
        </w:tc>
        <w:tc>
          <w:tcPr>
            <w:tcW w:w="1739" w:type="pct"/>
            <w:vAlign w:val="center"/>
          </w:tcPr>
          <w:p w14:paraId="2CB1207C">
            <w:pPr>
              <w:pStyle w:val="183"/>
              <w:rPr>
                <w:szCs w:val="18"/>
              </w:rPr>
            </w:pPr>
            <w:r>
              <w:rPr>
                <w:rFonts w:hint="eastAsia"/>
                <w:szCs w:val="18"/>
              </w:rPr>
              <w:t>GB/T 8948</w:t>
            </w:r>
          </w:p>
        </w:tc>
      </w:tr>
      <w:tr w14:paraId="65F208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5A3B7C2C">
            <w:pPr>
              <w:pStyle w:val="183"/>
            </w:pPr>
          </w:p>
        </w:tc>
        <w:tc>
          <w:tcPr>
            <w:tcW w:w="1367" w:type="pct"/>
            <w:vMerge w:val="continue"/>
            <w:vAlign w:val="center"/>
          </w:tcPr>
          <w:p w14:paraId="371789AA">
            <w:pPr>
              <w:pStyle w:val="183"/>
            </w:pPr>
          </w:p>
        </w:tc>
        <w:tc>
          <w:tcPr>
            <w:tcW w:w="1443" w:type="pct"/>
            <w:vAlign w:val="center"/>
          </w:tcPr>
          <w:p w14:paraId="1D0904E5">
            <w:pPr>
              <w:pStyle w:val="183"/>
              <w:rPr>
                <w:szCs w:val="18"/>
              </w:rPr>
            </w:pPr>
            <w:r>
              <w:rPr>
                <w:rFonts w:hint="eastAsia"/>
                <w:szCs w:val="18"/>
              </w:rPr>
              <w:t>建筑材料</w:t>
            </w:r>
          </w:p>
        </w:tc>
        <w:tc>
          <w:tcPr>
            <w:tcW w:w="1739" w:type="pct"/>
            <w:vAlign w:val="center"/>
          </w:tcPr>
          <w:p w14:paraId="7E0D7943">
            <w:pPr>
              <w:pStyle w:val="183"/>
              <w:rPr>
                <w:szCs w:val="18"/>
              </w:rPr>
            </w:pPr>
            <w:r>
              <w:rPr>
                <w:szCs w:val="18"/>
              </w:rPr>
              <w:t>GB 6566</w:t>
            </w:r>
          </w:p>
        </w:tc>
      </w:tr>
      <w:tr w14:paraId="47ED7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1146D96A">
            <w:pPr>
              <w:pStyle w:val="183"/>
            </w:pPr>
          </w:p>
        </w:tc>
        <w:tc>
          <w:tcPr>
            <w:tcW w:w="1367" w:type="pct"/>
            <w:vMerge w:val="continue"/>
            <w:vAlign w:val="center"/>
          </w:tcPr>
          <w:p w14:paraId="660F704D">
            <w:pPr>
              <w:pStyle w:val="183"/>
            </w:pPr>
          </w:p>
        </w:tc>
        <w:tc>
          <w:tcPr>
            <w:tcW w:w="1443" w:type="pct"/>
            <w:vAlign w:val="center"/>
          </w:tcPr>
          <w:p w14:paraId="79542E09">
            <w:pPr>
              <w:pStyle w:val="183"/>
              <w:rPr>
                <w:szCs w:val="18"/>
              </w:rPr>
            </w:pPr>
            <w:r>
              <w:rPr>
                <w:rFonts w:hint="eastAsia"/>
                <w:szCs w:val="18"/>
              </w:rPr>
              <w:t>胶粘剂</w:t>
            </w:r>
          </w:p>
        </w:tc>
        <w:tc>
          <w:tcPr>
            <w:tcW w:w="1739" w:type="pct"/>
            <w:vAlign w:val="center"/>
          </w:tcPr>
          <w:p w14:paraId="2D76F6F9">
            <w:pPr>
              <w:pStyle w:val="183"/>
              <w:rPr>
                <w:szCs w:val="18"/>
              </w:rPr>
            </w:pPr>
            <w:r>
              <w:rPr>
                <w:rFonts w:hint="eastAsia"/>
                <w:szCs w:val="18"/>
              </w:rPr>
              <w:t>GB 18583</w:t>
            </w:r>
          </w:p>
        </w:tc>
      </w:tr>
      <w:tr w14:paraId="05AAB2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7B11C5A1">
            <w:pPr>
              <w:pStyle w:val="183"/>
            </w:pPr>
          </w:p>
        </w:tc>
        <w:tc>
          <w:tcPr>
            <w:tcW w:w="1367" w:type="pct"/>
            <w:vMerge w:val="continue"/>
            <w:vAlign w:val="center"/>
          </w:tcPr>
          <w:p w14:paraId="73D79EA8">
            <w:pPr>
              <w:pStyle w:val="183"/>
            </w:pPr>
          </w:p>
        </w:tc>
        <w:tc>
          <w:tcPr>
            <w:tcW w:w="1443" w:type="pct"/>
            <w:vAlign w:val="center"/>
          </w:tcPr>
          <w:p w14:paraId="31EE85E6">
            <w:pPr>
              <w:pStyle w:val="183"/>
              <w:rPr>
                <w:szCs w:val="18"/>
              </w:rPr>
            </w:pPr>
            <w:r>
              <w:rPr>
                <w:rFonts w:hint="eastAsia"/>
                <w:szCs w:val="18"/>
              </w:rPr>
              <w:t>室内用水性木器涂料</w:t>
            </w:r>
          </w:p>
        </w:tc>
        <w:tc>
          <w:tcPr>
            <w:tcW w:w="1739" w:type="pct"/>
            <w:vAlign w:val="center"/>
          </w:tcPr>
          <w:p w14:paraId="26938D91">
            <w:pPr>
              <w:pStyle w:val="183"/>
              <w:rPr>
                <w:szCs w:val="18"/>
              </w:rPr>
            </w:pPr>
            <w:r>
              <w:rPr>
                <w:rFonts w:hint="eastAsia"/>
                <w:szCs w:val="18"/>
              </w:rPr>
              <w:t>HG/T 3828</w:t>
            </w:r>
          </w:p>
        </w:tc>
      </w:tr>
      <w:tr w14:paraId="17DDD5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0087A193">
            <w:pPr>
              <w:pStyle w:val="183"/>
            </w:pPr>
          </w:p>
        </w:tc>
        <w:tc>
          <w:tcPr>
            <w:tcW w:w="1367" w:type="pct"/>
            <w:vMerge w:val="continue"/>
            <w:vAlign w:val="center"/>
          </w:tcPr>
          <w:p w14:paraId="6E4E3734">
            <w:pPr>
              <w:pStyle w:val="183"/>
            </w:pPr>
          </w:p>
        </w:tc>
        <w:tc>
          <w:tcPr>
            <w:tcW w:w="1443" w:type="pct"/>
            <w:vAlign w:val="center"/>
          </w:tcPr>
          <w:p w14:paraId="49A8A593">
            <w:pPr>
              <w:pStyle w:val="183"/>
              <w:rPr>
                <w:szCs w:val="18"/>
                <w:highlight w:val="none"/>
              </w:rPr>
            </w:pPr>
            <w:r>
              <w:rPr>
                <w:rFonts w:hint="eastAsia"/>
                <w:szCs w:val="18"/>
                <w:highlight w:val="none"/>
              </w:rPr>
              <w:t>木器涂料</w:t>
            </w:r>
          </w:p>
        </w:tc>
        <w:tc>
          <w:tcPr>
            <w:tcW w:w="1739" w:type="pct"/>
            <w:vAlign w:val="center"/>
          </w:tcPr>
          <w:p w14:paraId="65E4DC21">
            <w:pPr>
              <w:pStyle w:val="183"/>
              <w:rPr>
                <w:szCs w:val="18"/>
                <w:highlight w:val="none"/>
              </w:rPr>
            </w:pPr>
            <w:r>
              <w:rPr>
                <w:szCs w:val="18"/>
                <w:highlight w:val="none"/>
              </w:rPr>
              <w:t>GB 18581</w:t>
            </w:r>
            <w:r>
              <w:rPr>
                <w:rFonts w:hint="eastAsia"/>
                <w:szCs w:val="18"/>
                <w:highlight w:val="none"/>
              </w:rPr>
              <w:t>、GB 30981.2</w:t>
            </w:r>
          </w:p>
        </w:tc>
      </w:tr>
      <w:tr w14:paraId="22E9E4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3445FF1F">
            <w:pPr>
              <w:pStyle w:val="183"/>
            </w:pPr>
          </w:p>
        </w:tc>
        <w:tc>
          <w:tcPr>
            <w:tcW w:w="1367" w:type="pct"/>
            <w:vMerge w:val="continue"/>
            <w:vAlign w:val="center"/>
          </w:tcPr>
          <w:p w14:paraId="7C592193">
            <w:pPr>
              <w:pStyle w:val="183"/>
            </w:pPr>
          </w:p>
        </w:tc>
        <w:tc>
          <w:tcPr>
            <w:tcW w:w="1443" w:type="pct"/>
            <w:vAlign w:val="center"/>
          </w:tcPr>
          <w:p w14:paraId="0269F207">
            <w:pPr>
              <w:pStyle w:val="183"/>
              <w:rPr>
                <w:szCs w:val="18"/>
              </w:rPr>
            </w:pPr>
            <w:r>
              <w:rPr>
                <w:rFonts w:hint="eastAsia"/>
                <w:szCs w:val="18"/>
              </w:rPr>
              <w:t>室内装饰装修用溶剂型聚氨酷木器涂料</w:t>
            </w:r>
          </w:p>
        </w:tc>
        <w:tc>
          <w:tcPr>
            <w:tcW w:w="1739" w:type="pct"/>
            <w:vAlign w:val="center"/>
          </w:tcPr>
          <w:p w14:paraId="3576A021">
            <w:pPr>
              <w:pStyle w:val="183"/>
              <w:rPr>
                <w:szCs w:val="18"/>
              </w:rPr>
            </w:pPr>
            <w:r>
              <w:rPr>
                <w:rFonts w:hint="eastAsia"/>
                <w:szCs w:val="18"/>
              </w:rPr>
              <w:t>GB/T 23997</w:t>
            </w:r>
          </w:p>
        </w:tc>
      </w:tr>
      <w:tr w14:paraId="1EC85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01F2393D">
            <w:pPr>
              <w:pStyle w:val="183"/>
            </w:pPr>
          </w:p>
        </w:tc>
        <w:tc>
          <w:tcPr>
            <w:tcW w:w="1367" w:type="pct"/>
            <w:vMerge w:val="continue"/>
            <w:vAlign w:val="center"/>
          </w:tcPr>
          <w:p w14:paraId="448A933B">
            <w:pPr>
              <w:pStyle w:val="183"/>
            </w:pPr>
          </w:p>
        </w:tc>
        <w:tc>
          <w:tcPr>
            <w:tcW w:w="1443" w:type="pct"/>
            <w:vAlign w:val="center"/>
          </w:tcPr>
          <w:p w14:paraId="133F0F83">
            <w:pPr>
              <w:pStyle w:val="183"/>
              <w:rPr>
                <w:szCs w:val="18"/>
              </w:rPr>
            </w:pPr>
            <w:r>
              <w:rPr>
                <w:rFonts w:hint="eastAsia"/>
                <w:szCs w:val="18"/>
              </w:rPr>
              <w:t>木塑装饰板</w:t>
            </w:r>
          </w:p>
        </w:tc>
        <w:tc>
          <w:tcPr>
            <w:tcW w:w="1739" w:type="pct"/>
            <w:vAlign w:val="center"/>
          </w:tcPr>
          <w:p w14:paraId="7542CD3C">
            <w:pPr>
              <w:pStyle w:val="183"/>
              <w:rPr>
                <w:szCs w:val="18"/>
              </w:rPr>
            </w:pPr>
            <w:r>
              <w:rPr>
                <w:rFonts w:hint="eastAsia"/>
                <w:szCs w:val="18"/>
              </w:rPr>
              <w:t>GB/T 24137</w:t>
            </w:r>
          </w:p>
        </w:tc>
      </w:tr>
      <w:tr w14:paraId="11F40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51" w:type="pct"/>
            <w:vMerge w:val="continue"/>
          </w:tcPr>
          <w:p w14:paraId="07A1B9C2">
            <w:pPr>
              <w:pStyle w:val="183"/>
            </w:pPr>
          </w:p>
        </w:tc>
        <w:tc>
          <w:tcPr>
            <w:tcW w:w="1367" w:type="pct"/>
            <w:vMerge w:val="continue"/>
            <w:vAlign w:val="center"/>
          </w:tcPr>
          <w:p w14:paraId="625FE9CB">
            <w:pPr>
              <w:pStyle w:val="183"/>
            </w:pPr>
          </w:p>
        </w:tc>
        <w:tc>
          <w:tcPr>
            <w:tcW w:w="1443" w:type="pct"/>
            <w:vAlign w:val="center"/>
          </w:tcPr>
          <w:p w14:paraId="1498F1EE">
            <w:pPr>
              <w:pStyle w:val="183"/>
              <w:rPr>
                <w:szCs w:val="18"/>
              </w:rPr>
            </w:pPr>
            <w:r>
              <w:rPr>
                <w:rFonts w:hint="eastAsia"/>
                <w:szCs w:val="18"/>
              </w:rPr>
              <w:t>浇铸型工业有机玻璃板材</w:t>
            </w:r>
          </w:p>
        </w:tc>
        <w:tc>
          <w:tcPr>
            <w:tcW w:w="1739" w:type="pct"/>
            <w:vAlign w:val="center"/>
          </w:tcPr>
          <w:p w14:paraId="4A86017D">
            <w:pPr>
              <w:pStyle w:val="183"/>
              <w:rPr>
                <w:szCs w:val="18"/>
              </w:rPr>
            </w:pPr>
            <w:r>
              <w:rPr>
                <w:rFonts w:hint="eastAsia"/>
                <w:szCs w:val="18"/>
              </w:rPr>
              <w:t>GB/T 7134</w:t>
            </w:r>
          </w:p>
        </w:tc>
      </w:tr>
    </w:tbl>
    <w:p w14:paraId="5947B466">
      <w:pPr>
        <w:pStyle w:val="61"/>
        <w:ind w:firstLine="420"/>
      </w:pPr>
    </w:p>
    <w:p w14:paraId="2EE09F52">
      <w:pPr>
        <w:pStyle w:val="61"/>
        <w:ind w:firstLine="420"/>
      </w:pPr>
    </w:p>
    <w:p w14:paraId="7A4CE6B3">
      <w:pPr>
        <w:pStyle w:val="61"/>
        <w:ind w:firstLine="420"/>
      </w:pPr>
    </w:p>
    <w:p w14:paraId="733B6007">
      <w:pPr>
        <w:pStyle w:val="61"/>
        <w:ind w:firstLine="420"/>
      </w:pPr>
    </w:p>
    <w:p w14:paraId="47DFE840">
      <w:pPr>
        <w:pStyle w:val="203"/>
        <w:rPr>
          <w:rFonts w:hint="eastAsia"/>
          <w:vanish w:val="0"/>
        </w:rPr>
      </w:pPr>
    </w:p>
    <w:p w14:paraId="73DDB4E4">
      <w:pPr>
        <w:pStyle w:val="204"/>
        <w:rPr>
          <w:vanish w:val="0"/>
        </w:rPr>
      </w:pPr>
    </w:p>
    <w:p w14:paraId="1B718046">
      <w:pPr>
        <w:pStyle w:val="81"/>
        <w:spacing w:after="156"/>
      </w:pPr>
      <w:r>
        <w:br w:type="textWrapping"/>
      </w:r>
      <w:r>
        <w:rPr>
          <w:rFonts w:hint="eastAsia"/>
        </w:rPr>
        <w:t>（资料性）</w:t>
      </w:r>
      <w:r>
        <w:br w:type="textWrapping"/>
      </w:r>
      <w:r>
        <w:rPr>
          <w:rFonts w:hint="eastAsia"/>
        </w:rPr>
        <w:t>定制家具验收单</w:t>
      </w:r>
    </w:p>
    <w:p w14:paraId="6C52B134">
      <w:pPr>
        <w:pStyle w:val="61"/>
        <w:ind w:firstLine="420"/>
      </w:pPr>
      <w:r>
        <w:rPr>
          <w:rFonts w:hint="eastAsia"/>
        </w:rPr>
        <w:t>定制家具验收单见表B.1。</w:t>
      </w:r>
    </w:p>
    <w:p w14:paraId="3B650570">
      <w:pPr>
        <w:pStyle w:val="82"/>
        <w:spacing w:before="156" w:after="156"/>
      </w:pPr>
      <w:r>
        <w:rPr>
          <w:rFonts w:hint="eastAsia"/>
        </w:rPr>
        <w:t>定制家具验收单</w:t>
      </w:r>
    </w:p>
    <w:tbl>
      <w:tblPr>
        <w:tblStyle w:val="26"/>
        <w:tblW w:w="9374" w:type="dxa"/>
        <w:tblInd w:w="0" w:type="dxa"/>
        <w:tblLayout w:type="fixed"/>
        <w:tblCellMar>
          <w:top w:w="0" w:type="dxa"/>
          <w:left w:w="0" w:type="dxa"/>
          <w:bottom w:w="0" w:type="dxa"/>
          <w:right w:w="0" w:type="dxa"/>
        </w:tblCellMar>
      </w:tblPr>
      <w:tblGrid>
        <w:gridCol w:w="709"/>
        <w:gridCol w:w="707"/>
        <w:gridCol w:w="855"/>
        <w:gridCol w:w="1565"/>
        <w:gridCol w:w="1423"/>
        <w:gridCol w:w="1139"/>
        <w:gridCol w:w="853"/>
        <w:gridCol w:w="994"/>
        <w:gridCol w:w="67"/>
        <w:gridCol w:w="1062"/>
      </w:tblGrid>
      <w:tr w14:paraId="4394DDD5">
        <w:tblPrEx>
          <w:tblCellMar>
            <w:top w:w="0" w:type="dxa"/>
            <w:left w:w="0" w:type="dxa"/>
            <w:bottom w:w="0" w:type="dxa"/>
            <w:right w:w="0" w:type="dxa"/>
          </w:tblCellMar>
        </w:tblPrEx>
        <w:trPr>
          <w:trHeight w:val="270" w:hRule="atLeast"/>
        </w:trPr>
        <w:tc>
          <w:tcPr>
            <w:tcW w:w="1416" w:type="dxa"/>
            <w:gridSpan w:val="2"/>
            <w:tcBorders>
              <w:top w:val="single" w:color="000000" w:sz="8" w:space="0"/>
              <w:left w:val="single" w:color="auto" w:sz="8" w:space="0"/>
              <w:bottom w:val="single" w:color="000000" w:sz="8" w:space="0"/>
              <w:right w:val="single" w:color="000000" w:sz="4" w:space="0"/>
            </w:tcBorders>
            <w:vAlign w:val="center"/>
          </w:tcPr>
          <w:p w14:paraId="2D8E62BE">
            <w:pPr>
              <w:pStyle w:val="61"/>
              <w:ind w:firstLine="0" w:firstLineChars="0"/>
              <w:jc w:val="center"/>
              <w:rPr>
                <w:sz w:val="18"/>
              </w:rPr>
            </w:pPr>
            <w:r>
              <w:rPr>
                <w:rFonts w:hint="eastAsia" w:hAnsi="宋体"/>
                <w:sz w:val="18"/>
                <w:szCs w:val="18"/>
              </w:rPr>
              <w:t>客户姓名</w:t>
            </w:r>
          </w:p>
        </w:tc>
        <w:tc>
          <w:tcPr>
            <w:tcW w:w="855" w:type="dxa"/>
            <w:tcBorders>
              <w:top w:val="single" w:color="000000" w:sz="8" w:space="0"/>
              <w:left w:val="nil"/>
              <w:bottom w:val="single" w:color="000000" w:sz="8" w:space="0"/>
              <w:right w:val="single" w:color="000000" w:sz="4" w:space="0"/>
            </w:tcBorders>
            <w:vAlign w:val="center"/>
          </w:tcPr>
          <w:p w14:paraId="4A6EF0AF">
            <w:pPr>
              <w:pStyle w:val="61"/>
              <w:ind w:firstLine="0" w:firstLineChars="0"/>
              <w:jc w:val="center"/>
              <w:rPr>
                <w:sz w:val="18"/>
              </w:rPr>
            </w:pPr>
          </w:p>
        </w:tc>
        <w:tc>
          <w:tcPr>
            <w:tcW w:w="1565" w:type="dxa"/>
            <w:tcBorders>
              <w:top w:val="single" w:color="000000" w:sz="8" w:space="0"/>
              <w:left w:val="nil"/>
              <w:bottom w:val="single" w:color="000000" w:sz="8" w:space="0"/>
              <w:right w:val="single" w:color="000000" w:sz="4" w:space="0"/>
            </w:tcBorders>
            <w:vAlign w:val="center"/>
          </w:tcPr>
          <w:p w14:paraId="1D14455D">
            <w:pPr>
              <w:pStyle w:val="61"/>
              <w:ind w:firstLine="0" w:firstLineChars="0"/>
              <w:jc w:val="center"/>
              <w:rPr>
                <w:sz w:val="18"/>
              </w:rPr>
            </w:pPr>
            <w:r>
              <w:rPr>
                <w:rFonts w:hint="eastAsia"/>
                <w:sz w:val="18"/>
              </w:rPr>
              <w:t>客户联系电话</w:t>
            </w:r>
          </w:p>
        </w:tc>
        <w:tc>
          <w:tcPr>
            <w:tcW w:w="1423" w:type="dxa"/>
            <w:tcBorders>
              <w:top w:val="single" w:color="000000" w:sz="8" w:space="0"/>
              <w:left w:val="nil"/>
              <w:bottom w:val="single" w:color="000000" w:sz="8" w:space="0"/>
              <w:right w:val="single" w:color="000000" w:sz="4" w:space="0"/>
            </w:tcBorders>
            <w:vAlign w:val="center"/>
          </w:tcPr>
          <w:p w14:paraId="2DB5C7D2">
            <w:pPr>
              <w:pStyle w:val="61"/>
              <w:ind w:firstLine="0" w:firstLineChars="0"/>
              <w:jc w:val="center"/>
              <w:rPr>
                <w:sz w:val="18"/>
              </w:rPr>
            </w:pPr>
          </w:p>
        </w:tc>
        <w:tc>
          <w:tcPr>
            <w:tcW w:w="1139" w:type="dxa"/>
            <w:tcBorders>
              <w:top w:val="single" w:color="000000" w:sz="8" w:space="0"/>
              <w:left w:val="nil"/>
              <w:bottom w:val="single" w:color="000000" w:sz="8" w:space="0"/>
              <w:right w:val="single" w:color="000000" w:sz="4" w:space="0"/>
            </w:tcBorders>
            <w:vAlign w:val="center"/>
          </w:tcPr>
          <w:p w14:paraId="31BF7E42">
            <w:pPr>
              <w:pStyle w:val="61"/>
              <w:ind w:firstLine="0" w:firstLineChars="0"/>
              <w:jc w:val="center"/>
              <w:rPr>
                <w:sz w:val="18"/>
              </w:rPr>
            </w:pPr>
            <w:r>
              <w:rPr>
                <w:rFonts w:hint="eastAsia" w:hAnsi="宋体"/>
                <w:sz w:val="18"/>
                <w:szCs w:val="18"/>
              </w:rPr>
              <w:t>安装地址</w:t>
            </w:r>
          </w:p>
        </w:tc>
        <w:tc>
          <w:tcPr>
            <w:tcW w:w="2976" w:type="dxa"/>
            <w:gridSpan w:val="4"/>
            <w:tcBorders>
              <w:top w:val="single" w:color="000000" w:sz="8" w:space="0"/>
              <w:left w:val="nil"/>
              <w:bottom w:val="single" w:color="000000" w:sz="8" w:space="0"/>
              <w:right w:val="single" w:color="auto" w:sz="8" w:space="0"/>
            </w:tcBorders>
            <w:vAlign w:val="center"/>
          </w:tcPr>
          <w:p w14:paraId="1A5B81F2">
            <w:pPr>
              <w:pStyle w:val="61"/>
              <w:ind w:firstLine="0" w:firstLineChars="0"/>
              <w:jc w:val="center"/>
              <w:rPr>
                <w:sz w:val="18"/>
              </w:rPr>
            </w:pPr>
          </w:p>
        </w:tc>
      </w:tr>
      <w:tr w14:paraId="722C9338">
        <w:tblPrEx>
          <w:tblCellMar>
            <w:top w:w="0" w:type="dxa"/>
            <w:left w:w="0" w:type="dxa"/>
            <w:bottom w:w="0" w:type="dxa"/>
            <w:right w:w="0" w:type="dxa"/>
          </w:tblCellMar>
        </w:tblPrEx>
        <w:trPr>
          <w:trHeight w:val="270" w:hRule="atLeast"/>
        </w:trPr>
        <w:tc>
          <w:tcPr>
            <w:tcW w:w="1416" w:type="dxa"/>
            <w:gridSpan w:val="2"/>
            <w:tcBorders>
              <w:top w:val="single" w:color="000000" w:sz="8" w:space="0"/>
              <w:left w:val="single" w:color="auto" w:sz="8" w:space="0"/>
              <w:bottom w:val="single" w:color="000000" w:sz="8" w:space="0"/>
              <w:right w:val="single" w:color="000000" w:sz="4" w:space="0"/>
            </w:tcBorders>
            <w:vAlign w:val="center"/>
          </w:tcPr>
          <w:p w14:paraId="410F01B5">
            <w:pPr>
              <w:pStyle w:val="61"/>
              <w:ind w:firstLine="0" w:firstLineChars="0"/>
              <w:jc w:val="center"/>
              <w:rPr>
                <w:sz w:val="18"/>
              </w:rPr>
            </w:pPr>
            <w:r>
              <w:rPr>
                <w:rFonts w:hint="eastAsia" w:hAnsi="宋体"/>
                <w:sz w:val="18"/>
                <w:szCs w:val="18"/>
              </w:rPr>
              <w:t>家具产品名称</w:t>
            </w:r>
          </w:p>
        </w:tc>
        <w:tc>
          <w:tcPr>
            <w:tcW w:w="855" w:type="dxa"/>
            <w:tcBorders>
              <w:top w:val="single" w:color="000000" w:sz="8" w:space="0"/>
              <w:left w:val="nil"/>
              <w:bottom w:val="single" w:color="000000" w:sz="8" w:space="0"/>
              <w:right w:val="single" w:color="auto" w:sz="8" w:space="0"/>
            </w:tcBorders>
            <w:vAlign w:val="center"/>
          </w:tcPr>
          <w:p w14:paraId="77C1419C">
            <w:pPr>
              <w:pStyle w:val="61"/>
              <w:ind w:firstLine="0" w:firstLineChars="0"/>
              <w:jc w:val="center"/>
              <w:rPr>
                <w:sz w:val="18"/>
              </w:rPr>
            </w:pPr>
          </w:p>
        </w:tc>
        <w:tc>
          <w:tcPr>
            <w:tcW w:w="1565" w:type="dxa"/>
            <w:tcBorders>
              <w:top w:val="single" w:color="000000" w:sz="8" w:space="0"/>
              <w:left w:val="nil"/>
              <w:bottom w:val="single" w:color="000000" w:sz="8" w:space="0"/>
              <w:right w:val="single" w:color="auto" w:sz="8" w:space="0"/>
            </w:tcBorders>
            <w:vAlign w:val="center"/>
          </w:tcPr>
          <w:p w14:paraId="4BFEFB1A">
            <w:pPr>
              <w:pStyle w:val="61"/>
              <w:ind w:firstLine="0" w:firstLineChars="0"/>
              <w:jc w:val="center"/>
              <w:rPr>
                <w:sz w:val="18"/>
              </w:rPr>
            </w:pPr>
            <w:r>
              <w:rPr>
                <w:rFonts w:hint="eastAsia" w:hAnsi="宋体"/>
                <w:sz w:val="18"/>
                <w:szCs w:val="18"/>
              </w:rPr>
              <w:t>家具产品规格型号</w:t>
            </w:r>
          </w:p>
        </w:tc>
        <w:tc>
          <w:tcPr>
            <w:tcW w:w="1423" w:type="dxa"/>
            <w:tcBorders>
              <w:top w:val="single" w:color="000000" w:sz="8" w:space="0"/>
              <w:left w:val="nil"/>
              <w:bottom w:val="single" w:color="000000" w:sz="8" w:space="0"/>
              <w:right w:val="single" w:color="auto" w:sz="8" w:space="0"/>
            </w:tcBorders>
            <w:vAlign w:val="center"/>
          </w:tcPr>
          <w:p w14:paraId="0FF3F0FC">
            <w:pPr>
              <w:pStyle w:val="61"/>
              <w:ind w:firstLine="0" w:firstLineChars="0"/>
              <w:jc w:val="center"/>
              <w:rPr>
                <w:sz w:val="18"/>
              </w:rPr>
            </w:pPr>
          </w:p>
        </w:tc>
        <w:tc>
          <w:tcPr>
            <w:tcW w:w="1139" w:type="dxa"/>
            <w:tcBorders>
              <w:top w:val="single" w:color="000000" w:sz="8" w:space="0"/>
              <w:left w:val="nil"/>
              <w:bottom w:val="single" w:color="000000" w:sz="8" w:space="0"/>
              <w:right w:val="single" w:color="auto" w:sz="8" w:space="0"/>
            </w:tcBorders>
            <w:vAlign w:val="center"/>
          </w:tcPr>
          <w:p w14:paraId="1C70B38A">
            <w:pPr>
              <w:pStyle w:val="61"/>
              <w:ind w:firstLine="0" w:firstLineChars="0"/>
              <w:jc w:val="center"/>
              <w:rPr>
                <w:sz w:val="18"/>
              </w:rPr>
            </w:pPr>
            <w:r>
              <w:rPr>
                <w:rFonts w:hint="eastAsia" w:hAnsi="宋体"/>
                <w:sz w:val="18"/>
                <w:szCs w:val="18"/>
              </w:rPr>
              <w:t>安装服务人员</w:t>
            </w:r>
          </w:p>
        </w:tc>
        <w:tc>
          <w:tcPr>
            <w:tcW w:w="853" w:type="dxa"/>
            <w:tcBorders>
              <w:top w:val="single" w:color="000000" w:sz="8" w:space="0"/>
              <w:left w:val="nil"/>
              <w:bottom w:val="single" w:color="000000" w:sz="8" w:space="0"/>
              <w:right w:val="single" w:color="auto" w:sz="8" w:space="0"/>
            </w:tcBorders>
            <w:vAlign w:val="center"/>
          </w:tcPr>
          <w:p w14:paraId="2AA46D41">
            <w:pPr>
              <w:pStyle w:val="61"/>
              <w:ind w:firstLine="0" w:firstLineChars="0"/>
              <w:jc w:val="center"/>
              <w:rPr>
                <w:sz w:val="18"/>
              </w:rPr>
            </w:pPr>
          </w:p>
        </w:tc>
        <w:tc>
          <w:tcPr>
            <w:tcW w:w="1061" w:type="dxa"/>
            <w:gridSpan w:val="2"/>
            <w:tcBorders>
              <w:top w:val="single" w:color="000000" w:sz="8" w:space="0"/>
              <w:left w:val="nil"/>
              <w:bottom w:val="single" w:color="000000" w:sz="8" w:space="0"/>
              <w:right w:val="single" w:color="auto" w:sz="8" w:space="0"/>
            </w:tcBorders>
            <w:vAlign w:val="center"/>
          </w:tcPr>
          <w:p w14:paraId="01003254">
            <w:pPr>
              <w:pStyle w:val="61"/>
              <w:ind w:firstLine="0" w:firstLineChars="0"/>
              <w:jc w:val="center"/>
              <w:rPr>
                <w:sz w:val="18"/>
              </w:rPr>
            </w:pPr>
            <w:r>
              <w:rPr>
                <w:rFonts w:hint="eastAsia" w:hAnsi="宋体"/>
                <w:sz w:val="18"/>
                <w:szCs w:val="18"/>
              </w:rPr>
              <w:t>客服电话</w:t>
            </w:r>
          </w:p>
        </w:tc>
        <w:tc>
          <w:tcPr>
            <w:tcW w:w="1062" w:type="dxa"/>
            <w:tcBorders>
              <w:top w:val="single" w:color="000000" w:sz="8" w:space="0"/>
              <w:left w:val="nil"/>
              <w:bottom w:val="single" w:color="000000" w:sz="8" w:space="0"/>
              <w:right w:val="single" w:color="auto" w:sz="8" w:space="0"/>
            </w:tcBorders>
            <w:vAlign w:val="center"/>
          </w:tcPr>
          <w:p w14:paraId="7F978093">
            <w:pPr>
              <w:pStyle w:val="61"/>
              <w:ind w:firstLine="0" w:firstLineChars="0"/>
              <w:jc w:val="center"/>
              <w:rPr>
                <w:sz w:val="18"/>
              </w:rPr>
            </w:pPr>
          </w:p>
        </w:tc>
      </w:tr>
      <w:tr w14:paraId="207DB508">
        <w:tblPrEx>
          <w:tblCellMar>
            <w:top w:w="0" w:type="dxa"/>
            <w:left w:w="0" w:type="dxa"/>
            <w:bottom w:w="0" w:type="dxa"/>
            <w:right w:w="0" w:type="dxa"/>
          </w:tblCellMar>
        </w:tblPrEx>
        <w:trPr>
          <w:trHeight w:val="270" w:hRule="atLeast"/>
        </w:trPr>
        <w:tc>
          <w:tcPr>
            <w:tcW w:w="709" w:type="dxa"/>
            <w:tcBorders>
              <w:top w:val="single" w:color="000000" w:sz="8" w:space="0"/>
              <w:left w:val="single" w:color="auto" w:sz="8" w:space="0"/>
              <w:bottom w:val="single" w:color="000000" w:sz="8" w:space="0"/>
              <w:right w:val="single" w:color="000000" w:sz="4" w:space="0"/>
            </w:tcBorders>
            <w:vAlign w:val="center"/>
          </w:tcPr>
          <w:p w14:paraId="3318AE7A">
            <w:pPr>
              <w:pStyle w:val="61"/>
              <w:ind w:firstLine="0" w:firstLineChars="0"/>
              <w:jc w:val="center"/>
              <w:rPr>
                <w:sz w:val="18"/>
              </w:rPr>
            </w:pPr>
            <w:r>
              <w:rPr>
                <w:rFonts w:hint="eastAsia"/>
                <w:sz w:val="18"/>
              </w:rPr>
              <w:t>序号</w:t>
            </w:r>
          </w:p>
        </w:tc>
        <w:tc>
          <w:tcPr>
            <w:tcW w:w="5689" w:type="dxa"/>
            <w:gridSpan w:val="5"/>
            <w:tcBorders>
              <w:top w:val="single" w:color="000000" w:sz="8" w:space="0"/>
              <w:left w:val="nil"/>
              <w:bottom w:val="single" w:color="000000" w:sz="8" w:space="0"/>
              <w:right w:val="single" w:color="000000" w:sz="4" w:space="0"/>
            </w:tcBorders>
            <w:vAlign w:val="center"/>
          </w:tcPr>
          <w:p w14:paraId="54EA3DC9">
            <w:pPr>
              <w:pStyle w:val="61"/>
              <w:ind w:firstLine="0" w:firstLineChars="0"/>
              <w:jc w:val="center"/>
              <w:rPr>
                <w:sz w:val="18"/>
              </w:rPr>
            </w:pPr>
            <w:r>
              <w:rPr>
                <w:rFonts w:hint="eastAsia"/>
                <w:sz w:val="18"/>
              </w:rPr>
              <w:t>验收项目</w:t>
            </w:r>
          </w:p>
        </w:tc>
        <w:tc>
          <w:tcPr>
            <w:tcW w:w="1847" w:type="dxa"/>
            <w:gridSpan w:val="2"/>
            <w:tcBorders>
              <w:top w:val="single" w:color="000000" w:sz="8" w:space="0"/>
              <w:left w:val="nil"/>
              <w:bottom w:val="single" w:color="000000" w:sz="8" w:space="0"/>
              <w:right w:val="single" w:color="000000" w:sz="4" w:space="0"/>
            </w:tcBorders>
            <w:vAlign w:val="center"/>
          </w:tcPr>
          <w:p w14:paraId="39511C17">
            <w:pPr>
              <w:pStyle w:val="61"/>
              <w:ind w:firstLine="0" w:firstLineChars="0"/>
              <w:jc w:val="center"/>
              <w:rPr>
                <w:sz w:val="18"/>
              </w:rPr>
            </w:pPr>
            <w:r>
              <w:rPr>
                <w:rFonts w:hint="eastAsia"/>
                <w:sz w:val="18"/>
              </w:rPr>
              <w:t>验收结果</w:t>
            </w:r>
          </w:p>
        </w:tc>
        <w:tc>
          <w:tcPr>
            <w:tcW w:w="1129" w:type="dxa"/>
            <w:gridSpan w:val="2"/>
            <w:tcBorders>
              <w:top w:val="single" w:color="000000" w:sz="8" w:space="0"/>
              <w:left w:val="nil"/>
              <w:bottom w:val="single" w:color="000000" w:sz="8" w:space="0"/>
              <w:right w:val="single" w:color="auto" w:sz="8" w:space="0"/>
            </w:tcBorders>
            <w:vAlign w:val="center"/>
          </w:tcPr>
          <w:p w14:paraId="77AF708C">
            <w:pPr>
              <w:pStyle w:val="61"/>
              <w:ind w:firstLine="0" w:firstLineChars="0"/>
              <w:jc w:val="center"/>
              <w:rPr>
                <w:sz w:val="18"/>
              </w:rPr>
            </w:pPr>
            <w:r>
              <w:rPr>
                <w:rFonts w:hint="eastAsia"/>
                <w:sz w:val="18"/>
              </w:rPr>
              <w:t>备注</w:t>
            </w:r>
          </w:p>
        </w:tc>
      </w:tr>
      <w:tr w14:paraId="2D53D560">
        <w:tblPrEx>
          <w:tblCellMar>
            <w:top w:w="0" w:type="dxa"/>
            <w:left w:w="0" w:type="dxa"/>
            <w:bottom w:w="0" w:type="dxa"/>
            <w:right w:w="0" w:type="dxa"/>
          </w:tblCellMar>
        </w:tblPrEx>
        <w:trPr>
          <w:trHeight w:val="270" w:hRule="atLeast"/>
        </w:trPr>
        <w:tc>
          <w:tcPr>
            <w:tcW w:w="709" w:type="dxa"/>
            <w:tcBorders>
              <w:top w:val="single" w:color="000000" w:sz="8" w:space="0"/>
              <w:left w:val="single" w:color="auto" w:sz="8" w:space="0"/>
              <w:bottom w:val="single" w:color="000000" w:sz="4" w:space="0"/>
              <w:right w:val="single" w:color="000000" w:sz="4" w:space="0"/>
            </w:tcBorders>
            <w:vAlign w:val="center"/>
          </w:tcPr>
          <w:p w14:paraId="1196A54A">
            <w:pPr>
              <w:pStyle w:val="61"/>
              <w:ind w:firstLine="0" w:firstLineChars="0"/>
              <w:jc w:val="center"/>
              <w:rPr>
                <w:sz w:val="18"/>
              </w:rPr>
            </w:pPr>
            <w:r>
              <w:rPr>
                <w:rFonts w:hint="eastAsia"/>
                <w:sz w:val="18"/>
              </w:rPr>
              <w:t>1</w:t>
            </w:r>
          </w:p>
        </w:tc>
        <w:tc>
          <w:tcPr>
            <w:tcW w:w="5689" w:type="dxa"/>
            <w:gridSpan w:val="5"/>
            <w:tcBorders>
              <w:top w:val="single" w:color="000000" w:sz="8" w:space="0"/>
              <w:left w:val="nil"/>
              <w:bottom w:val="single" w:color="000000" w:sz="4" w:space="0"/>
              <w:right w:val="single" w:color="000000" w:sz="4" w:space="0"/>
            </w:tcBorders>
            <w:vAlign w:val="center"/>
          </w:tcPr>
          <w:p w14:paraId="5B4FAFE5">
            <w:pPr>
              <w:pStyle w:val="61"/>
              <w:ind w:firstLine="0" w:firstLineChars="0"/>
              <w:rPr>
                <w:sz w:val="18"/>
              </w:rPr>
            </w:pPr>
            <w:r>
              <w:rPr>
                <w:rFonts w:hint="eastAsia"/>
                <w:sz w:val="18"/>
              </w:rPr>
              <w:t>产品说明应完整</w:t>
            </w:r>
          </w:p>
        </w:tc>
        <w:tc>
          <w:tcPr>
            <w:tcW w:w="1847" w:type="dxa"/>
            <w:gridSpan w:val="2"/>
            <w:tcBorders>
              <w:top w:val="single" w:color="000000" w:sz="8" w:space="0"/>
              <w:left w:val="nil"/>
              <w:bottom w:val="single" w:color="000000" w:sz="4" w:space="0"/>
              <w:right w:val="single" w:color="000000" w:sz="4" w:space="0"/>
            </w:tcBorders>
            <w:vAlign w:val="center"/>
          </w:tcPr>
          <w:p w14:paraId="1B1BBDE2">
            <w:pPr>
              <w:pStyle w:val="61"/>
              <w:ind w:firstLine="0" w:firstLineChars="0"/>
              <w:jc w:val="center"/>
              <w:rPr>
                <w:rFonts w:hint="eastAsia" w:hAnsi="宋体"/>
                <w:sz w:val="18"/>
              </w:rPr>
            </w:pPr>
            <w:r>
              <w:rPr>
                <w:rFonts w:hint="eastAsia" w:hAnsi="宋体"/>
                <w:sz w:val="18"/>
              </w:rPr>
              <w:t>□</w:t>
            </w:r>
            <w:r>
              <w:rPr>
                <w:sz w:val="18"/>
              </w:rPr>
              <w:t xml:space="preserve">合格 </w:t>
            </w:r>
            <w:r>
              <w:rPr>
                <w:rFonts w:hint="eastAsia"/>
                <w:sz w:val="18"/>
              </w:rPr>
              <w:t xml:space="preserve">  </w:t>
            </w:r>
            <w:r>
              <w:rPr>
                <w:rFonts w:hint="eastAsia" w:hAnsi="宋体"/>
                <w:sz w:val="18"/>
              </w:rPr>
              <w:t>□</w:t>
            </w:r>
            <w:r>
              <w:rPr>
                <w:sz w:val="18"/>
              </w:rPr>
              <w:t>不合格</w:t>
            </w:r>
          </w:p>
        </w:tc>
        <w:tc>
          <w:tcPr>
            <w:tcW w:w="1129" w:type="dxa"/>
            <w:gridSpan w:val="2"/>
            <w:tcBorders>
              <w:top w:val="single" w:color="000000" w:sz="8" w:space="0"/>
              <w:left w:val="nil"/>
              <w:bottom w:val="single" w:color="000000" w:sz="4" w:space="0"/>
              <w:right w:val="single" w:color="auto" w:sz="8" w:space="0"/>
            </w:tcBorders>
            <w:vAlign w:val="center"/>
          </w:tcPr>
          <w:p w14:paraId="12504AD7">
            <w:pPr>
              <w:pStyle w:val="61"/>
              <w:ind w:firstLine="0" w:firstLineChars="0"/>
              <w:rPr>
                <w:rFonts w:hint="eastAsia" w:hAnsi="宋体"/>
                <w:sz w:val="18"/>
              </w:rPr>
            </w:pPr>
          </w:p>
        </w:tc>
      </w:tr>
      <w:tr w14:paraId="58BBE24A">
        <w:tblPrEx>
          <w:tblCellMar>
            <w:top w:w="0" w:type="dxa"/>
            <w:left w:w="0" w:type="dxa"/>
            <w:bottom w:w="0" w:type="dxa"/>
            <w:right w:w="0" w:type="dxa"/>
          </w:tblCellMar>
        </w:tblPrEx>
        <w:trPr>
          <w:trHeight w:val="270"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042D915B">
            <w:pPr>
              <w:pStyle w:val="61"/>
              <w:ind w:firstLine="0" w:firstLineChars="0"/>
              <w:jc w:val="center"/>
              <w:rPr>
                <w:sz w:val="18"/>
              </w:rPr>
            </w:pPr>
            <w:r>
              <w:rPr>
                <w:rFonts w:hint="eastAsia"/>
                <w:sz w:val="18"/>
              </w:rPr>
              <w:t>2</w:t>
            </w:r>
          </w:p>
        </w:tc>
        <w:tc>
          <w:tcPr>
            <w:tcW w:w="5689" w:type="dxa"/>
            <w:gridSpan w:val="5"/>
            <w:tcBorders>
              <w:top w:val="single" w:color="000000" w:sz="4" w:space="0"/>
              <w:left w:val="nil"/>
              <w:bottom w:val="single" w:color="000000" w:sz="4" w:space="0"/>
              <w:right w:val="single" w:color="000000" w:sz="4" w:space="0"/>
            </w:tcBorders>
            <w:vAlign w:val="center"/>
          </w:tcPr>
          <w:p w14:paraId="632DFC7D">
            <w:pPr>
              <w:pStyle w:val="61"/>
              <w:ind w:firstLine="0" w:firstLineChars="0"/>
              <w:rPr>
                <w:sz w:val="18"/>
              </w:rPr>
            </w:pPr>
            <w:r>
              <w:rPr>
                <w:rFonts w:hint="eastAsia"/>
                <w:sz w:val="18"/>
              </w:rPr>
              <w:t>警示标识应齐全且满足形式要求</w:t>
            </w:r>
          </w:p>
        </w:tc>
        <w:tc>
          <w:tcPr>
            <w:tcW w:w="1847" w:type="dxa"/>
            <w:gridSpan w:val="2"/>
            <w:tcBorders>
              <w:top w:val="single" w:color="000000" w:sz="4" w:space="0"/>
              <w:left w:val="nil"/>
              <w:bottom w:val="single" w:color="000000" w:sz="4" w:space="0"/>
              <w:right w:val="single" w:color="000000" w:sz="4" w:space="0"/>
            </w:tcBorders>
            <w:vAlign w:val="center"/>
          </w:tcPr>
          <w:p w14:paraId="763C3C98">
            <w:pPr>
              <w:pStyle w:val="61"/>
              <w:ind w:firstLine="0" w:firstLineChars="0"/>
              <w:jc w:val="center"/>
              <w:rPr>
                <w:rFonts w:hint="eastAsia" w:hAnsi="宋体"/>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7FED96B7">
            <w:pPr>
              <w:pStyle w:val="61"/>
              <w:ind w:firstLine="0" w:firstLineChars="0"/>
              <w:rPr>
                <w:rFonts w:hint="eastAsia" w:hAnsi="宋体"/>
                <w:sz w:val="18"/>
              </w:rPr>
            </w:pPr>
          </w:p>
        </w:tc>
      </w:tr>
      <w:tr w14:paraId="4F8265DC">
        <w:tblPrEx>
          <w:tblCellMar>
            <w:top w:w="0" w:type="dxa"/>
            <w:left w:w="0" w:type="dxa"/>
            <w:bottom w:w="0" w:type="dxa"/>
            <w:right w:w="0" w:type="dxa"/>
          </w:tblCellMar>
        </w:tblPrEx>
        <w:trPr>
          <w:trHeight w:val="270"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3AE51BCE">
            <w:pPr>
              <w:pStyle w:val="61"/>
              <w:ind w:firstLine="0" w:firstLineChars="0"/>
              <w:jc w:val="center"/>
              <w:rPr>
                <w:sz w:val="18"/>
              </w:rPr>
            </w:pPr>
            <w:r>
              <w:rPr>
                <w:rFonts w:hint="eastAsia"/>
                <w:sz w:val="18"/>
              </w:rPr>
              <w:t>3</w:t>
            </w:r>
          </w:p>
        </w:tc>
        <w:tc>
          <w:tcPr>
            <w:tcW w:w="5689" w:type="dxa"/>
            <w:gridSpan w:val="5"/>
            <w:tcBorders>
              <w:top w:val="single" w:color="000000" w:sz="4" w:space="0"/>
              <w:left w:val="nil"/>
              <w:bottom w:val="single" w:color="000000" w:sz="4" w:space="0"/>
              <w:right w:val="single" w:color="000000" w:sz="4" w:space="0"/>
            </w:tcBorders>
            <w:vAlign w:val="center"/>
          </w:tcPr>
          <w:p w14:paraId="02688F66">
            <w:pPr>
              <w:pStyle w:val="61"/>
              <w:ind w:firstLine="0" w:firstLineChars="0"/>
              <w:rPr>
                <w:sz w:val="18"/>
              </w:rPr>
            </w:pPr>
            <w:r>
              <w:rPr>
                <w:rFonts w:hint="eastAsia"/>
                <w:sz w:val="18"/>
              </w:rPr>
              <w:t>阻燃性能</w:t>
            </w:r>
          </w:p>
        </w:tc>
        <w:tc>
          <w:tcPr>
            <w:tcW w:w="1847" w:type="dxa"/>
            <w:gridSpan w:val="2"/>
            <w:tcBorders>
              <w:top w:val="single" w:color="000000" w:sz="4" w:space="0"/>
              <w:left w:val="nil"/>
              <w:bottom w:val="single" w:color="000000" w:sz="4" w:space="0"/>
              <w:right w:val="single" w:color="000000" w:sz="4" w:space="0"/>
            </w:tcBorders>
            <w:vAlign w:val="center"/>
          </w:tcPr>
          <w:p w14:paraId="0051DC34">
            <w:pPr>
              <w:pStyle w:val="61"/>
              <w:ind w:firstLine="0" w:firstLineChars="0"/>
              <w:jc w:val="center"/>
              <w:rPr>
                <w:rFonts w:hint="eastAsia" w:hAnsi="宋体"/>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5F796772">
            <w:pPr>
              <w:pStyle w:val="61"/>
              <w:ind w:firstLine="0" w:firstLineChars="0"/>
              <w:rPr>
                <w:rFonts w:hint="eastAsia" w:hAnsi="宋体"/>
                <w:sz w:val="18"/>
              </w:rPr>
            </w:pPr>
          </w:p>
        </w:tc>
      </w:tr>
      <w:tr w14:paraId="026475AF">
        <w:tblPrEx>
          <w:tblCellMar>
            <w:top w:w="0" w:type="dxa"/>
            <w:left w:w="0" w:type="dxa"/>
            <w:bottom w:w="0" w:type="dxa"/>
            <w:right w:w="0" w:type="dxa"/>
          </w:tblCellMar>
        </w:tblPrEx>
        <w:trPr>
          <w:trHeight w:val="270"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588A969E">
            <w:pPr>
              <w:pStyle w:val="61"/>
              <w:ind w:firstLine="0" w:firstLineChars="0"/>
              <w:jc w:val="center"/>
              <w:rPr>
                <w:sz w:val="18"/>
              </w:rPr>
            </w:pPr>
            <w:r>
              <w:rPr>
                <w:rFonts w:hint="eastAsia"/>
                <w:sz w:val="18"/>
              </w:rPr>
              <w:t>4</w:t>
            </w:r>
          </w:p>
        </w:tc>
        <w:tc>
          <w:tcPr>
            <w:tcW w:w="5689" w:type="dxa"/>
            <w:gridSpan w:val="5"/>
            <w:tcBorders>
              <w:top w:val="single" w:color="000000" w:sz="4" w:space="0"/>
              <w:left w:val="nil"/>
              <w:bottom w:val="single" w:color="000000" w:sz="4" w:space="0"/>
              <w:right w:val="single" w:color="000000" w:sz="4" w:space="0"/>
            </w:tcBorders>
            <w:vAlign w:val="center"/>
          </w:tcPr>
          <w:p w14:paraId="57C1023D">
            <w:pPr>
              <w:pStyle w:val="61"/>
              <w:ind w:firstLine="0" w:firstLineChars="0"/>
              <w:rPr>
                <w:sz w:val="18"/>
              </w:rPr>
            </w:pPr>
            <w:r>
              <w:rPr>
                <w:rFonts w:hint="eastAsia"/>
                <w:sz w:val="18"/>
              </w:rPr>
              <w:t>有害物质含量</w:t>
            </w:r>
          </w:p>
        </w:tc>
        <w:tc>
          <w:tcPr>
            <w:tcW w:w="1847" w:type="dxa"/>
            <w:gridSpan w:val="2"/>
            <w:tcBorders>
              <w:top w:val="single" w:color="000000" w:sz="4" w:space="0"/>
              <w:left w:val="nil"/>
              <w:bottom w:val="single" w:color="000000" w:sz="4" w:space="0"/>
              <w:right w:val="single" w:color="000000" w:sz="4" w:space="0"/>
            </w:tcBorders>
            <w:vAlign w:val="center"/>
          </w:tcPr>
          <w:p w14:paraId="227FCC02">
            <w:pPr>
              <w:pStyle w:val="61"/>
              <w:ind w:firstLine="0" w:firstLineChars="0"/>
              <w:jc w:val="center"/>
              <w:rPr>
                <w:rFonts w:hint="eastAsia" w:hAnsi="宋体"/>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1BC22725">
            <w:pPr>
              <w:pStyle w:val="61"/>
              <w:ind w:firstLine="0" w:firstLineChars="0"/>
              <w:rPr>
                <w:rFonts w:hint="eastAsia" w:hAnsi="宋体"/>
                <w:sz w:val="18"/>
              </w:rPr>
            </w:pPr>
          </w:p>
        </w:tc>
      </w:tr>
      <w:tr w14:paraId="1FFC9C4F">
        <w:tblPrEx>
          <w:tblCellMar>
            <w:top w:w="0" w:type="dxa"/>
            <w:left w:w="0" w:type="dxa"/>
            <w:bottom w:w="0" w:type="dxa"/>
            <w:right w:w="0" w:type="dxa"/>
          </w:tblCellMar>
        </w:tblPrEx>
        <w:trPr>
          <w:trHeight w:val="270"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630379BD">
            <w:pPr>
              <w:pStyle w:val="61"/>
              <w:ind w:firstLine="0" w:firstLineChars="0"/>
              <w:jc w:val="center"/>
              <w:rPr>
                <w:sz w:val="18"/>
              </w:rPr>
            </w:pPr>
            <w:r>
              <w:rPr>
                <w:rFonts w:hint="eastAsia"/>
                <w:sz w:val="18"/>
              </w:rPr>
              <w:t>5</w:t>
            </w:r>
          </w:p>
        </w:tc>
        <w:tc>
          <w:tcPr>
            <w:tcW w:w="5689" w:type="dxa"/>
            <w:gridSpan w:val="5"/>
            <w:tcBorders>
              <w:top w:val="single" w:color="000000" w:sz="4" w:space="0"/>
              <w:left w:val="nil"/>
              <w:bottom w:val="single" w:color="000000" w:sz="4" w:space="0"/>
              <w:right w:val="single" w:color="000000" w:sz="4" w:space="0"/>
            </w:tcBorders>
            <w:vAlign w:val="center"/>
          </w:tcPr>
          <w:p w14:paraId="1762263A">
            <w:pPr>
              <w:pStyle w:val="61"/>
              <w:ind w:firstLine="0" w:firstLineChars="0"/>
              <w:rPr>
                <w:sz w:val="18"/>
              </w:rPr>
            </w:pPr>
            <w:r>
              <w:rPr>
                <w:rFonts w:hint="eastAsia"/>
                <w:sz w:val="18"/>
              </w:rPr>
              <w:t>安装施工符合设计图纸和设计要求</w:t>
            </w:r>
          </w:p>
        </w:tc>
        <w:tc>
          <w:tcPr>
            <w:tcW w:w="1847" w:type="dxa"/>
            <w:gridSpan w:val="2"/>
            <w:tcBorders>
              <w:top w:val="single" w:color="000000" w:sz="4" w:space="0"/>
              <w:left w:val="nil"/>
              <w:bottom w:val="single" w:color="000000" w:sz="4" w:space="0"/>
              <w:right w:val="single" w:color="000000" w:sz="4" w:space="0"/>
            </w:tcBorders>
            <w:vAlign w:val="center"/>
          </w:tcPr>
          <w:p w14:paraId="2B612C07">
            <w:pPr>
              <w:pStyle w:val="61"/>
              <w:ind w:firstLine="0" w:firstLineChars="0"/>
              <w:jc w:val="center"/>
              <w:rPr>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49E2E1C8">
            <w:pPr>
              <w:pStyle w:val="61"/>
              <w:ind w:firstLine="0" w:firstLineChars="0"/>
              <w:rPr>
                <w:rFonts w:hint="eastAsia" w:hAnsi="宋体"/>
                <w:sz w:val="18"/>
              </w:rPr>
            </w:pPr>
          </w:p>
        </w:tc>
      </w:tr>
      <w:tr w14:paraId="172EC295">
        <w:tblPrEx>
          <w:tblCellMar>
            <w:top w:w="0" w:type="dxa"/>
            <w:left w:w="0" w:type="dxa"/>
            <w:bottom w:w="0" w:type="dxa"/>
            <w:right w:w="0" w:type="dxa"/>
          </w:tblCellMar>
        </w:tblPrEx>
        <w:trPr>
          <w:trHeight w:val="270"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390556B2">
            <w:pPr>
              <w:pStyle w:val="61"/>
              <w:ind w:firstLine="0" w:firstLineChars="0"/>
              <w:jc w:val="center"/>
              <w:rPr>
                <w:sz w:val="18"/>
              </w:rPr>
            </w:pPr>
            <w:r>
              <w:rPr>
                <w:rFonts w:hint="eastAsia"/>
                <w:sz w:val="18"/>
              </w:rPr>
              <w:t>6</w:t>
            </w:r>
          </w:p>
        </w:tc>
        <w:tc>
          <w:tcPr>
            <w:tcW w:w="5689" w:type="dxa"/>
            <w:gridSpan w:val="5"/>
            <w:tcBorders>
              <w:top w:val="single" w:color="000000" w:sz="4" w:space="0"/>
              <w:left w:val="nil"/>
              <w:bottom w:val="single" w:color="000000" w:sz="4" w:space="0"/>
              <w:right w:val="single" w:color="000000" w:sz="4" w:space="0"/>
            </w:tcBorders>
            <w:vAlign w:val="center"/>
          </w:tcPr>
          <w:p w14:paraId="1CDBB5E5">
            <w:pPr>
              <w:pStyle w:val="61"/>
              <w:ind w:firstLine="0" w:firstLineChars="0"/>
              <w:rPr>
                <w:sz w:val="18"/>
              </w:rPr>
            </w:pPr>
            <w:r>
              <w:rPr>
                <w:rFonts w:hint="eastAsia"/>
                <w:sz w:val="18"/>
              </w:rPr>
              <w:t>安装过程中对产品、环境、客户物品等无任何损伤、破坏</w:t>
            </w:r>
          </w:p>
        </w:tc>
        <w:tc>
          <w:tcPr>
            <w:tcW w:w="1847" w:type="dxa"/>
            <w:gridSpan w:val="2"/>
            <w:tcBorders>
              <w:top w:val="single" w:color="000000" w:sz="4" w:space="0"/>
              <w:left w:val="nil"/>
              <w:bottom w:val="single" w:color="000000" w:sz="4" w:space="0"/>
              <w:right w:val="single" w:color="000000" w:sz="4" w:space="0"/>
            </w:tcBorders>
            <w:vAlign w:val="center"/>
          </w:tcPr>
          <w:p w14:paraId="33DDD3C1">
            <w:pPr>
              <w:pStyle w:val="61"/>
              <w:ind w:firstLine="0" w:firstLineChars="0"/>
              <w:jc w:val="center"/>
              <w:rPr>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60116A7A">
            <w:pPr>
              <w:pStyle w:val="61"/>
              <w:ind w:firstLine="0" w:firstLineChars="0"/>
              <w:rPr>
                <w:rFonts w:hint="eastAsia" w:hAnsi="宋体"/>
                <w:sz w:val="18"/>
              </w:rPr>
            </w:pPr>
          </w:p>
        </w:tc>
      </w:tr>
      <w:tr w14:paraId="516A90DE">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77EB960F">
            <w:pPr>
              <w:pStyle w:val="61"/>
              <w:ind w:firstLine="0" w:firstLineChars="0"/>
              <w:jc w:val="center"/>
              <w:rPr>
                <w:sz w:val="18"/>
              </w:rPr>
            </w:pPr>
            <w:r>
              <w:rPr>
                <w:rFonts w:hint="eastAsia"/>
                <w:sz w:val="18"/>
              </w:rPr>
              <w:t>7</w:t>
            </w:r>
          </w:p>
        </w:tc>
        <w:tc>
          <w:tcPr>
            <w:tcW w:w="5689" w:type="dxa"/>
            <w:gridSpan w:val="5"/>
            <w:tcBorders>
              <w:top w:val="single" w:color="000000" w:sz="4" w:space="0"/>
              <w:left w:val="nil"/>
              <w:bottom w:val="single" w:color="000000" w:sz="4" w:space="0"/>
              <w:right w:val="single" w:color="000000" w:sz="4" w:space="0"/>
            </w:tcBorders>
            <w:vAlign w:val="center"/>
          </w:tcPr>
          <w:p w14:paraId="23E8A5AD">
            <w:pPr>
              <w:pStyle w:val="61"/>
              <w:ind w:firstLine="0" w:firstLineChars="0"/>
              <w:rPr>
                <w:sz w:val="18"/>
              </w:rPr>
            </w:pPr>
            <w:r>
              <w:rPr>
                <w:rFonts w:hint="eastAsia"/>
                <w:sz w:val="18"/>
              </w:rPr>
              <w:t>家具外观应完整、无破损、无污损</w:t>
            </w:r>
          </w:p>
        </w:tc>
        <w:tc>
          <w:tcPr>
            <w:tcW w:w="1847" w:type="dxa"/>
            <w:gridSpan w:val="2"/>
            <w:tcBorders>
              <w:top w:val="single" w:color="000000" w:sz="4" w:space="0"/>
              <w:left w:val="nil"/>
              <w:bottom w:val="single" w:color="000000" w:sz="4" w:space="0"/>
              <w:right w:val="single" w:color="000000" w:sz="4" w:space="0"/>
            </w:tcBorders>
            <w:vAlign w:val="center"/>
          </w:tcPr>
          <w:p w14:paraId="2F28AACD">
            <w:pPr>
              <w:pStyle w:val="61"/>
              <w:ind w:firstLine="0" w:firstLineChars="0"/>
              <w:jc w:val="center"/>
              <w:rPr>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462D42DA">
            <w:pPr>
              <w:pStyle w:val="61"/>
              <w:ind w:firstLine="0" w:firstLineChars="0"/>
              <w:rPr>
                <w:rFonts w:hint="eastAsia" w:hAnsi="宋体"/>
                <w:sz w:val="18"/>
              </w:rPr>
            </w:pPr>
          </w:p>
        </w:tc>
      </w:tr>
      <w:tr w14:paraId="6496473D">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00446F2B">
            <w:pPr>
              <w:pStyle w:val="61"/>
              <w:ind w:firstLine="0" w:firstLineChars="0"/>
              <w:jc w:val="center"/>
              <w:rPr>
                <w:sz w:val="18"/>
              </w:rPr>
            </w:pPr>
            <w:r>
              <w:rPr>
                <w:rFonts w:hint="eastAsia"/>
                <w:sz w:val="18"/>
              </w:rPr>
              <w:t>8</w:t>
            </w:r>
          </w:p>
        </w:tc>
        <w:tc>
          <w:tcPr>
            <w:tcW w:w="5689" w:type="dxa"/>
            <w:gridSpan w:val="5"/>
            <w:tcBorders>
              <w:top w:val="single" w:color="000000" w:sz="4" w:space="0"/>
              <w:left w:val="nil"/>
              <w:bottom w:val="single" w:color="000000" w:sz="4" w:space="0"/>
              <w:right w:val="single" w:color="000000" w:sz="4" w:space="0"/>
            </w:tcBorders>
            <w:vAlign w:val="center"/>
          </w:tcPr>
          <w:p w14:paraId="5C6961EB">
            <w:pPr>
              <w:pStyle w:val="61"/>
              <w:ind w:firstLine="0" w:firstLineChars="0"/>
              <w:rPr>
                <w:sz w:val="18"/>
              </w:rPr>
            </w:pPr>
            <w:r>
              <w:rPr>
                <w:rFonts w:hint="eastAsia"/>
                <w:sz w:val="18"/>
              </w:rPr>
              <w:t>接触人体或贮物部位不应有毛刺、刃口或棱角</w:t>
            </w:r>
          </w:p>
        </w:tc>
        <w:tc>
          <w:tcPr>
            <w:tcW w:w="1847" w:type="dxa"/>
            <w:gridSpan w:val="2"/>
            <w:tcBorders>
              <w:top w:val="single" w:color="000000" w:sz="4" w:space="0"/>
              <w:left w:val="nil"/>
              <w:bottom w:val="single" w:color="000000" w:sz="4" w:space="0"/>
              <w:right w:val="single" w:color="000000" w:sz="4" w:space="0"/>
            </w:tcBorders>
            <w:vAlign w:val="center"/>
          </w:tcPr>
          <w:p w14:paraId="51DE4F09">
            <w:pPr>
              <w:pStyle w:val="61"/>
              <w:ind w:firstLine="0" w:firstLineChars="0"/>
              <w:jc w:val="center"/>
              <w:rPr>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588AEC40">
            <w:pPr>
              <w:pStyle w:val="61"/>
              <w:ind w:firstLine="0" w:firstLineChars="0"/>
              <w:rPr>
                <w:rFonts w:hint="eastAsia" w:hAnsi="宋体"/>
                <w:sz w:val="18"/>
              </w:rPr>
            </w:pPr>
          </w:p>
        </w:tc>
      </w:tr>
      <w:tr w14:paraId="5218A16D">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7437CFE4">
            <w:pPr>
              <w:pStyle w:val="61"/>
              <w:ind w:firstLine="0" w:firstLineChars="0"/>
              <w:jc w:val="center"/>
              <w:rPr>
                <w:sz w:val="18"/>
              </w:rPr>
            </w:pPr>
            <w:r>
              <w:rPr>
                <w:rFonts w:hint="eastAsia"/>
                <w:sz w:val="18"/>
              </w:rPr>
              <w:t>9</w:t>
            </w:r>
          </w:p>
        </w:tc>
        <w:tc>
          <w:tcPr>
            <w:tcW w:w="5689" w:type="dxa"/>
            <w:gridSpan w:val="5"/>
            <w:tcBorders>
              <w:top w:val="single" w:color="000000" w:sz="4" w:space="0"/>
              <w:left w:val="nil"/>
              <w:bottom w:val="single" w:color="000000" w:sz="4" w:space="0"/>
              <w:right w:val="single" w:color="000000" w:sz="4" w:space="0"/>
            </w:tcBorders>
            <w:vAlign w:val="center"/>
          </w:tcPr>
          <w:p w14:paraId="1C2F4AC7">
            <w:pPr>
              <w:pStyle w:val="61"/>
              <w:ind w:firstLine="0" w:firstLineChars="0"/>
              <w:rPr>
                <w:sz w:val="18"/>
              </w:rPr>
            </w:pPr>
            <w:r>
              <w:rPr>
                <w:rFonts w:hint="eastAsia"/>
                <w:sz w:val="18"/>
              </w:rPr>
              <w:t>家具内应无多余的螺丝、木屑等杂物</w:t>
            </w:r>
          </w:p>
        </w:tc>
        <w:tc>
          <w:tcPr>
            <w:tcW w:w="1847" w:type="dxa"/>
            <w:gridSpan w:val="2"/>
            <w:tcBorders>
              <w:top w:val="single" w:color="000000" w:sz="4" w:space="0"/>
              <w:left w:val="nil"/>
              <w:bottom w:val="single" w:color="000000" w:sz="4" w:space="0"/>
              <w:right w:val="single" w:color="000000" w:sz="4" w:space="0"/>
            </w:tcBorders>
            <w:vAlign w:val="center"/>
          </w:tcPr>
          <w:p w14:paraId="5D546BF7">
            <w:pPr>
              <w:pStyle w:val="61"/>
              <w:ind w:firstLine="0" w:firstLineChars="0"/>
              <w:jc w:val="center"/>
              <w:rPr>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0ABEBB00">
            <w:pPr>
              <w:pStyle w:val="61"/>
              <w:ind w:firstLine="0" w:firstLineChars="0"/>
              <w:rPr>
                <w:rFonts w:hint="eastAsia" w:hAnsi="宋体"/>
                <w:sz w:val="18"/>
              </w:rPr>
            </w:pPr>
          </w:p>
        </w:tc>
      </w:tr>
      <w:tr w14:paraId="68D04F42">
        <w:tblPrEx>
          <w:tblCellMar>
            <w:top w:w="0" w:type="dxa"/>
            <w:left w:w="0" w:type="dxa"/>
            <w:bottom w:w="0" w:type="dxa"/>
            <w:right w:w="0" w:type="dxa"/>
          </w:tblCellMar>
        </w:tblPrEx>
        <w:trPr>
          <w:trHeight w:val="540"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15F5B5CE">
            <w:pPr>
              <w:pStyle w:val="61"/>
              <w:ind w:firstLine="0" w:firstLineChars="0"/>
              <w:jc w:val="center"/>
              <w:rPr>
                <w:sz w:val="18"/>
              </w:rPr>
            </w:pPr>
            <w:r>
              <w:rPr>
                <w:rFonts w:hint="eastAsia"/>
                <w:sz w:val="18"/>
              </w:rPr>
              <w:t>10</w:t>
            </w:r>
          </w:p>
        </w:tc>
        <w:tc>
          <w:tcPr>
            <w:tcW w:w="5689" w:type="dxa"/>
            <w:gridSpan w:val="5"/>
            <w:tcBorders>
              <w:top w:val="single" w:color="000000" w:sz="4" w:space="0"/>
              <w:left w:val="nil"/>
              <w:bottom w:val="single" w:color="000000" w:sz="4" w:space="0"/>
              <w:right w:val="single" w:color="000000" w:sz="4" w:space="0"/>
            </w:tcBorders>
            <w:vAlign w:val="center"/>
          </w:tcPr>
          <w:p w14:paraId="0E4C6632">
            <w:pPr>
              <w:pStyle w:val="61"/>
              <w:ind w:firstLine="0" w:firstLineChars="0"/>
              <w:rPr>
                <w:sz w:val="18"/>
              </w:rPr>
            </w:pPr>
            <w:r>
              <w:rPr>
                <w:rFonts w:hint="eastAsia"/>
                <w:sz w:val="18"/>
              </w:rPr>
              <w:t>定制木家具、金属家具、玻璃家具、塑料家具等硬质材料生产的产品的外形尺寸偏差为士5 mm，定制软体家具的外形尺寸偏差为士10 mm</w:t>
            </w:r>
          </w:p>
        </w:tc>
        <w:tc>
          <w:tcPr>
            <w:tcW w:w="1847" w:type="dxa"/>
            <w:gridSpan w:val="2"/>
            <w:tcBorders>
              <w:top w:val="single" w:color="000000" w:sz="4" w:space="0"/>
              <w:left w:val="nil"/>
              <w:bottom w:val="single" w:color="000000" w:sz="4" w:space="0"/>
              <w:right w:val="single" w:color="000000" w:sz="4" w:space="0"/>
            </w:tcBorders>
            <w:vAlign w:val="center"/>
          </w:tcPr>
          <w:p w14:paraId="23F95525">
            <w:pPr>
              <w:pStyle w:val="61"/>
              <w:ind w:firstLine="0" w:firstLineChars="0"/>
              <w:jc w:val="center"/>
              <w:rPr>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2F444323">
            <w:pPr>
              <w:pStyle w:val="61"/>
              <w:ind w:firstLine="0" w:firstLineChars="0"/>
              <w:rPr>
                <w:rFonts w:hint="eastAsia" w:hAnsi="宋体"/>
                <w:sz w:val="18"/>
              </w:rPr>
            </w:pPr>
          </w:p>
        </w:tc>
      </w:tr>
      <w:tr w14:paraId="7498DEC9">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1A7D8400">
            <w:pPr>
              <w:pStyle w:val="61"/>
              <w:ind w:firstLine="0" w:firstLineChars="0"/>
              <w:jc w:val="center"/>
              <w:rPr>
                <w:sz w:val="18"/>
              </w:rPr>
            </w:pPr>
            <w:r>
              <w:rPr>
                <w:rFonts w:hint="eastAsia"/>
                <w:sz w:val="18"/>
              </w:rPr>
              <w:t>11</w:t>
            </w:r>
          </w:p>
        </w:tc>
        <w:tc>
          <w:tcPr>
            <w:tcW w:w="5689" w:type="dxa"/>
            <w:gridSpan w:val="5"/>
            <w:tcBorders>
              <w:top w:val="single" w:color="000000" w:sz="4" w:space="0"/>
              <w:left w:val="nil"/>
              <w:bottom w:val="single" w:color="000000" w:sz="4" w:space="0"/>
              <w:right w:val="single" w:color="000000" w:sz="4" w:space="0"/>
            </w:tcBorders>
            <w:vAlign w:val="center"/>
          </w:tcPr>
          <w:p w14:paraId="5C3DB27D">
            <w:pPr>
              <w:pStyle w:val="61"/>
              <w:ind w:firstLine="0" w:firstLineChars="0"/>
              <w:rPr>
                <w:sz w:val="18"/>
              </w:rPr>
            </w:pPr>
            <w:r>
              <w:rPr>
                <w:rFonts w:hint="eastAsia"/>
                <w:sz w:val="18"/>
              </w:rPr>
              <w:t>人造板部件的非交接面应进行封边或涂饰处理</w:t>
            </w:r>
          </w:p>
        </w:tc>
        <w:tc>
          <w:tcPr>
            <w:tcW w:w="1847" w:type="dxa"/>
            <w:gridSpan w:val="2"/>
            <w:tcBorders>
              <w:top w:val="single" w:color="000000" w:sz="4" w:space="0"/>
              <w:left w:val="nil"/>
              <w:bottom w:val="single" w:color="000000" w:sz="4" w:space="0"/>
              <w:right w:val="single" w:color="000000" w:sz="4" w:space="0"/>
            </w:tcBorders>
            <w:vAlign w:val="center"/>
          </w:tcPr>
          <w:p w14:paraId="45F551FB">
            <w:pPr>
              <w:pStyle w:val="61"/>
              <w:ind w:firstLine="0" w:firstLineChars="0"/>
              <w:jc w:val="center"/>
              <w:rPr>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6F56EB96">
            <w:pPr>
              <w:pStyle w:val="61"/>
              <w:ind w:firstLine="0" w:firstLineChars="0"/>
              <w:rPr>
                <w:rFonts w:hint="eastAsia" w:hAnsi="宋体"/>
                <w:sz w:val="18"/>
              </w:rPr>
            </w:pPr>
          </w:p>
        </w:tc>
      </w:tr>
      <w:tr w14:paraId="7CD4E3BE">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27A7CA9E">
            <w:pPr>
              <w:pStyle w:val="61"/>
              <w:ind w:firstLine="0" w:firstLineChars="0"/>
              <w:jc w:val="center"/>
              <w:rPr>
                <w:sz w:val="18"/>
              </w:rPr>
            </w:pPr>
            <w:r>
              <w:rPr>
                <w:rFonts w:hint="eastAsia"/>
                <w:sz w:val="18"/>
              </w:rPr>
              <w:t>12</w:t>
            </w:r>
          </w:p>
        </w:tc>
        <w:tc>
          <w:tcPr>
            <w:tcW w:w="5689" w:type="dxa"/>
            <w:gridSpan w:val="5"/>
            <w:tcBorders>
              <w:top w:val="single" w:color="000000" w:sz="4" w:space="0"/>
              <w:left w:val="nil"/>
              <w:bottom w:val="single" w:color="000000" w:sz="4" w:space="0"/>
              <w:right w:val="single" w:color="000000" w:sz="4" w:space="0"/>
            </w:tcBorders>
            <w:vAlign w:val="center"/>
          </w:tcPr>
          <w:p w14:paraId="6B14E424">
            <w:pPr>
              <w:pStyle w:val="61"/>
              <w:ind w:firstLine="0" w:firstLineChars="0"/>
              <w:rPr>
                <w:sz w:val="18"/>
              </w:rPr>
            </w:pPr>
            <w:r>
              <w:rPr>
                <w:rFonts w:hint="eastAsia"/>
                <w:sz w:val="18"/>
              </w:rPr>
              <w:t>推拉构件应推拉顺畅，抽屉下垂度≤20 mm，摆动度≤15 mm</w:t>
            </w:r>
          </w:p>
        </w:tc>
        <w:tc>
          <w:tcPr>
            <w:tcW w:w="1847" w:type="dxa"/>
            <w:gridSpan w:val="2"/>
            <w:tcBorders>
              <w:top w:val="single" w:color="000000" w:sz="4" w:space="0"/>
              <w:left w:val="nil"/>
              <w:bottom w:val="single" w:color="000000" w:sz="4" w:space="0"/>
              <w:right w:val="single" w:color="000000" w:sz="4" w:space="0"/>
            </w:tcBorders>
            <w:vAlign w:val="center"/>
          </w:tcPr>
          <w:p w14:paraId="1B8123A1">
            <w:pPr>
              <w:pStyle w:val="61"/>
              <w:ind w:firstLine="0" w:firstLineChars="0"/>
              <w:jc w:val="center"/>
              <w:rPr>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gridSpan w:val="2"/>
            <w:tcBorders>
              <w:top w:val="single" w:color="000000" w:sz="4" w:space="0"/>
              <w:left w:val="nil"/>
              <w:bottom w:val="single" w:color="000000" w:sz="4" w:space="0"/>
              <w:right w:val="single" w:color="auto" w:sz="8" w:space="0"/>
            </w:tcBorders>
            <w:vAlign w:val="center"/>
          </w:tcPr>
          <w:p w14:paraId="4440965A">
            <w:pPr>
              <w:pStyle w:val="61"/>
              <w:ind w:firstLine="0" w:firstLineChars="0"/>
              <w:rPr>
                <w:rFonts w:hint="eastAsia" w:hAnsi="宋体"/>
                <w:sz w:val="18"/>
              </w:rPr>
            </w:pPr>
          </w:p>
        </w:tc>
      </w:tr>
      <w:tr w14:paraId="64FAB20C">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0E31E331">
            <w:pPr>
              <w:pStyle w:val="61"/>
              <w:ind w:firstLine="0" w:firstLineChars="0"/>
              <w:jc w:val="center"/>
              <w:rPr>
                <w:sz w:val="18"/>
                <w:highlight w:val="none"/>
              </w:rPr>
            </w:pPr>
            <w:r>
              <w:rPr>
                <w:rFonts w:hint="eastAsia"/>
                <w:sz w:val="18"/>
                <w:highlight w:val="none"/>
              </w:rPr>
              <w:t>13</w:t>
            </w:r>
          </w:p>
        </w:tc>
        <w:tc>
          <w:tcPr>
            <w:tcW w:w="5689" w:type="dxa"/>
            <w:gridSpan w:val="5"/>
            <w:tcBorders>
              <w:top w:val="single" w:color="000000" w:sz="4" w:space="0"/>
              <w:left w:val="nil"/>
              <w:bottom w:val="single" w:color="000000" w:sz="4" w:space="0"/>
              <w:right w:val="single" w:color="000000" w:sz="4" w:space="0"/>
            </w:tcBorders>
            <w:vAlign w:val="center"/>
          </w:tcPr>
          <w:p w14:paraId="2AE58952">
            <w:pPr>
              <w:pStyle w:val="61"/>
              <w:ind w:firstLine="0" w:firstLineChars="0"/>
              <w:rPr>
                <w:sz w:val="18"/>
                <w:highlight w:val="none"/>
              </w:rPr>
            </w:pPr>
            <w:r>
              <w:rPr>
                <w:rFonts w:hint="eastAsia"/>
                <w:sz w:val="18"/>
                <w:highlight w:val="none"/>
              </w:rPr>
              <w:t>门应开合顺畅、灵便，分缝均匀，无上下错位</w:t>
            </w:r>
          </w:p>
        </w:tc>
        <w:tc>
          <w:tcPr>
            <w:tcW w:w="1847" w:type="dxa"/>
            <w:gridSpan w:val="2"/>
            <w:tcBorders>
              <w:top w:val="single" w:color="000000" w:sz="4" w:space="0"/>
              <w:left w:val="nil"/>
              <w:bottom w:val="single" w:color="000000" w:sz="4" w:space="0"/>
              <w:right w:val="single" w:color="000000" w:sz="4" w:space="0"/>
            </w:tcBorders>
            <w:vAlign w:val="center"/>
          </w:tcPr>
          <w:p w14:paraId="42D1E34F">
            <w:pPr>
              <w:pStyle w:val="61"/>
              <w:ind w:firstLine="0" w:firstLineChars="0"/>
              <w:jc w:val="center"/>
              <w:rPr>
                <w:sz w:val="18"/>
                <w:highlight w:val="none"/>
              </w:rPr>
            </w:pPr>
            <w:r>
              <w:rPr>
                <w:rFonts w:hint="eastAsia" w:hAnsi="宋体"/>
                <w:sz w:val="18"/>
                <w:highlight w:val="none"/>
              </w:rPr>
              <w:t>□</w:t>
            </w:r>
            <w:r>
              <w:rPr>
                <w:sz w:val="18"/>
                <w:highlight w:val="none"/>
              </w:rPr>
              <w:t xml:space="preserve">合格 </w:t>
            </w:r>
            <w:r>
              <w:rPr>
                <w:rFonts w:hint="eastAsia"/>
                <w:sz w:val="18"/>
                <w:highlight w:val="none"/>
              </w:rPr>
              <w:t xml:space="preserve"> </w:t>
            </w:r>
            <w:r>
              <w:rPr>
                <w:sz w:val="18"/>
                <w:highlight w:val="none"/>
              </w:rPr>
              <w:t xml:space="preserve"> </w:t>
            </w:r>
            <w:r>
              <w:rPr>
                <w:rFonts w:hint="eastAsia" w:hAnsi="宋体"/>
                <w:sz w:val="18"/>
                <w:highlight w:val="none"/>
              </w:rPr>
              <w:t>□</w:t>
            </w:r>
            <w:r>
              <w:rPr>
                <w:sz w:val="18"/>
                <w:highlight w:val="none"/>
              </w:rPr>
              <w:t>不合格</w:t>
            </w:r>
          </w:p>
        </w:tc>
        <w:tc>
          <w:tcPr>
            <w:tcW w:w="1129" w:type="dxa"/>
            <w:gridSpan w:val="2"/>
            <w:tcBorders>
              <w:top w:val="single" w:color="000000" w:sz="4" w:space="0"/>
              <w:left w:val="nil"/>
              <w:bottom w:val="single" w:color="000000" w:sz="4" w:space="0"/>
              <w:right w:val="single" w:color="auto" w:sz="8" w:space="0"/>
            </w:tcBorders>
            <w:vAlign w:val="center"/>
          </w:tcPr>
          <w:p w14:paraId="090A2359">
            <w:pPr>
              <w:pStyle w:val="61"/>
              <w:ind w:firstLine="0" w:firstLineChars="0"/>
              <w:rPr>
                <w:rFonts w:hint="eastAsia" w:hAnsi="宋体"/>
                <w:sz w:val="18"/>
                <w:highlight w:val="none"/>
              </w:rPr>
            </w:pPr>
          </w:p>
        </w:tc>
      </w:tr>
      <w:tr w14:paraId="65D0C849">
        <w:tblPrEx>
          <w:tblCellMar>
            <w:top w:w="0" w:type="dxa"/>
            <w:left w:w="0" w:type="dxa"/>
            <w:bottom w:w="0" w:type="dxa"/>
            <w:right w:w="0" w:type="dxa"/>
          </w:tblCellMar>
        </w:tblPrEx>
        <w:trPr>
          <w:trHeight w:val="810"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008D505A">
            <w:pPr>
              <w:pStyle w:val="61"/>
              <w:ind w:firstLine="0" w:firstLineChars="0"/>
              <w:jc w:val="center"/>
              <w:rPr>
                <w:sz w:val="18"/>
                <w:highlight w:val="none"/>
              </w:rPr>
            </w:pPr>
            <w:r>
              <w:rPr>
                <w:rFonts w:hint="eastAsia"/>
                <w:sz w:val="18"/>
                <w:highlight w:val="none"/>
              </w:rPr>
              <w:t>14</w:t>
            </w:r>
          </w:p>
        </w:tc>
        <w:tc>
          <w:tcPr>
            <w:tcW w:w="5689" w:type="dxa"/>
            <w:gridSpan w:val="5"/>
            <w:tcBorders>
              <w:top w:val="single" w:color="000000" w:sz="4" w:space="0"/>
              <w:left w:val="nil"/>
              <w:bottom w:val="single" w:color="000000" w:sz="4" w:space="0"/>
              <w:right w:val="single" w:color="000000" w:sz="4" w:space="0"/>
            </w:tcBorders>
            <w:vAlign w:val="center"/>
          </w:tcPr>
          <w:p w14:paraId="485045F1">
            <w:pPr>
              <w:pStyle w:val="61"/>
              <w:ind w:firstLine="0" w:firstLineChars="0"/>
              <w:rPr>
                <w:sz w:val="18"/>
                <w:highlight w:val="none"/>
              </w:rPr>
            </w:pPr>
            <w:r>
              <w:rPr>
                <w:rFonts w:hint="eastAsia"/>
                <w:sz w:val="18"/>
                <w:highlight w:val="none"/>
              </w:rPr>
              <w:t>定制木家具、定制金属家具、定制玻璃家具、定制塑料家具等硬质材料生产的产品的位差度，即门与框架、门与门相邻表面、抽与框架、抽屉与门，抽屉与抽屉相邻两表面间的距离偏差（非设计要求的距离）≤2 mm</w:t>
            </w:r>
          </w:p>
        </w:tc>
        <w:tc>
          <w:tcPr>
            <w:tcW w:w="1847" w:type="dxa"/>
            <w:gridSpan w:val="2"/>
            <w:tcBorders>
              <w:top w:val="single" w:color="000000" w:sz="4" w:space="0"/>
              <w:left w:val="nil"/>
              <w:bottom w:val="single" w:color="000000" w:sz="4" w:space="0"/>
              <w:right w:val="single" w:color="000000" w:sz="4" w:space="0"/>
            </w:tcBorders>
            <w:vAlign w:val="center"/>
          </w:tcPr>
          <w:p w14:paraId="4A97FFB3">
            <w:pPr>
              <w:pStyle w:val="61"/>
              <w:ind w:firstLine="0" w:firstLineChars="0"/>
              <w:jc w:val="center"/>
              <w:rPr>
                <w:sz w:val="18"/>
                <w:highlight w:val="none"/>
              </w:rPr>
            </w:pPr>
            <w:r>
              <w:rPr>
                <w:rFonts w:hint="eastAsia" w:hAnsi="宋体"/>
                <w:sz w:val="18"/>
                <w:highlight w:val="none"/>
              </w:rPr>
              <w:t>□</w:t>
            </w:r>
            <w:r>
              <w:rPr>
                <w:sz w:val="18"/>
                <w:highlight w:val="none"/>
              </w:rPr>
              <w:t xml:space="preserve">合格 </w:t>
            </w:r>
            <w:r>
              <w:rPr>
                <w:rFonts w:hint="eastAsia"/>
                <w:sz w:val="18"/>
                <w:highlight w:val="none"/>
              </w:rPr>
              <w:t xml:space="preserve"> </w:t>
            </w:r>
            <w:r>
              <w:rPr>
                <w:sz w:val="18"/>
                <w:highlight w:val="none"/>
              </w:rPr>
              <w:t xml:space="preserve"> </w:t>
            </w:r>
            <w:r>
              <w:rPr>
                <w:rFonts w:hint="eastAsia" w:hAnsi="宋体"/>
                <w:sz w:val="18"/>
                <w:highlight w:val="none"/>
              </w:rPr>
              <w:t>□</w:t>
            </w:r>
            <w:r>
              <w:rPr>
                <w:sz w:val="18"/>
                <w:highlight w:val="none"/>
              </w:rPr>
              <w:t>不合格</w:t>
            </w:r>
          </w:p>
        </w:tc>
        <w:tc>
          <w:tcPr>
            <w:tcW w:w="1129" w:type="dxa"/>
            <w:gridSpan w:val="2"/>
            <w:tcBorders>
              <w:top w:val="single" w:color="000000" w:sz="4" w:space="0"/>
              <w:left w:val="nil"/>
              <w:bottom w:val="single" w:color="000000" w:sz="4" w:space="0"/>
              <w:right w:val="single" w:color="auto" w:sz="8" w:space="0"/>
            </w:tcBorders>
            <w:vAlign w:val="center"/>
          </w:tcPr>
          <w:p w14:paraId="44395077">
            <w:pPr>
              <w:pStyle w:val="61"/>
              <w:ind w:firstLine="0" w:firstLineChars="0"/>
              <w:rPr>
                <w:rFonts w:hint="eastAsia" w:hAnsi="宋体"/>
                <w:sz w:val="18"/>
                <w:highlight w:val="none"/>
              </w:rPr>
            </w:pPr>
          </w:p>
        </w:tc>
      </w:tr>
    </w:tbl>
    <w:p w14:paraId="504E02D9">
      <w:pPr>
        <w:pStyle w:val="61"/>
        <w:spacing w:before="156" w:beforeLines="50" w:after="156" w:afterLines="50"/>
        <w:ind w:firstLine="0" w:firstLineChars="0"/>
        <w:jc w:val="center"/>
        <w:rPr>
          <w:rFonts w:ascii="黑体" w:hAnsi="黑体" w:eastAsia="黑体"/>
          <w:highlight w:val="none"/>
        </w:rPr>
      </w:pPr>
    </w:p>
    <w:p w14:paraId="15A0774F">
      <w:pPr>
        <w:pStyle w:val="61"/>
        <w:spacing w:before="156" w:beforeLines="50" w:after="156" w:afterLines="50"/>
        <w:ind w:firstLine="0" w:firstLineChars="0"/>
        <w:jc w:val="center"/>
        <w:rPr>
          <w:rFonts w:hint="eastAsia" w:ascii="黑体" w:hAnsi="黑体" w:eastAsia="黑体"/>
          <w:highlight w:val="none"/>
        </w:rPr>
      </w:pPr>
      <w:r>
        <w:rPr>
          <w:rFonts w:hint="eastAsia" w:ascii="黑体" w:hAnsi="黑体" w:eastAsia="黑体"/>
          <w:highlight w:val="none"/>
        </w:rPr>
        <w:t>表B.1  定制家具验收单</w:t>
      </w:r>
      <w:r>
        <w:rPr>
          <w:rFonts w:hint="eastAsia" w:hAnsi="宋体"/>
          <w:highlight w:val="none"/>
        </w:rPr>
        <w:t>（续）</w:t>
      </w:r>
    </w:p>
    <w:tbl>
      <w:tblPr>
        <w:tblStyle w:val="26"/>
        <w:tblW w:w="9374" w:type="dxa"/>
        <w:tblInd w:w="0" w:type="dxa"/>
        <w:tblLayout w:type="fixed"/>
        <w:tblCellMar>
          <w:top w:w="0" w:type="dxa"/>
          <w:left w:w="0" w:type="dxa"/>
          <w:bottom w:w="0" w:type="dxa"/>
          <w:right w:w="0" w:type="dxa"/>
        </w:tblCellMar>
      </w:tblPr>
      <w:tblGrid>
        <w:gridCol w:w="709"/>
        <w:gridCol w:w="5689"/>
        <w:gridCol w:w="1847"/>
        <w:gridCol w:w="1129"/>
      </w:tblGrid>
      <w:tr w14:paraId="77C6A400">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480DBC8F">
            <w:pPr>
              <w:pStyle w:val="61"/>
              <w:ind w:firstLine="0" w:firstLineChars="0"/>
              <w:jc w:val="center"/>
              <w:rPr>
                <w:sz w:val="18"/>
                <w:highlight w:val="none"/>
              </w:rPr>
            </w:pPr>
            <w:r>
              <w:rPr>
                <w:rFonts w:hint="eastAsia"/>
                <w:sz w:val="18"/>
                <w:highlight w:val="none"/>
              </w:rPr>
              <w:t>序号</w:t>
            </w:r>
          </w:p>
        </w:tc>
        <w:tc>
          <w:tcPr>
            <w:tcW w:w="5689" w:type="dxa"/>
            <w:tcBorders>
              <w:top w:val="single" w:color="000000" w:sz="4" w:space="0"/>
              <w:left w:val="nil"/>
              <w:bottom w:val="single" w:color="000000" w:sz="4" w:space="0"/>
              <w:right w:val="single" w:color="000000" w:sz="4" w:space="0"/>
            </w:tcBorders>
            <w:vAlign w:val="center"/>
          </w:tcPr>
          <w:p w14:paraId="52078FE4">
            <w:pPr>
              <w:pStyle w:val="61"/>
              <w:ind w:firstLine="0" w:firstLineChars="0"/>
              <w:jc w:val="center"/>
              <w:rPr>
                <w:sz w:val="18"/>
                <w:highlight w:val="none"/>
              </w:rPr>
            </w:pPr>
            <w:r>
              <w:rPr>
                <w:rFonts w:hint="eastAsia"/>
                <w:sz w:val="18"/>
                <w:highlight w:val="none"/>
              </w:rPr>
              <w:t>验收项目</w:t>
            </w:r>
          </w:p>
        </w:tc>
        <w:tc>
          <w:tcPr>
            <w:tcW w:w="1847" w:type="dxa"/>
            <w:tcBorders>
              <w:top w:val="single" w:color="000000" w:sz="4" w:space="0"/>
              <w:left w:val="nil"/>
              <w:bottom w:val="single" w:color="000000" w:sz="4" w:space="0"/>
              <w:right w:val="single" w:color="000000" w:sz="4" w:space="0"/>
            </w:tcBorders>
            <w:vAlign w:val="center"/>
          </w:tcPr>
          <w:p w14:paraId="072804C9">
            <w:pPr>
              <w:pStyle w:val="61"/>
              <w:ind w:firstLine="0" w:firstLineChars="0"/>
              <w:jc w:val="center"/>
              <w:rPr>
                <w:rFonts w:hint="eastAsia" w:hAnsi="宋体"/>
                <w:sz w:val="18"/>
                <w:highlight w:val="none"/>
              </w:rPr>
            </w:pPr>
            <w:r>
              <w:rPr>
                <w:rFonts w:hint="eastAsia"/>
                <w:sz w:val="18"/>
                <w:highlight w:val="none"/>
              </w:rPr>
              <w:t>验收结果</w:t>
            </w:r>
          </w:p>
        </w:tc>
        <w:tc>
          <w:tcPr>
            <w:tcW w:w="1129" w:type="dxa"/>
            <w:tcBorders>
              <w:top w:val="single" w:color="000000" w:sz="4" w:space="0"/>
              <w:left w:val="nil"/>
              <w:bottom w:val="single" w:color="000000" w:sz="4" w:space="0"/>
              <w:right w:val="single" w:color="auto" w:sz="8" w:space="0"/>
            </w:tcBorders>
            <w:vAlign w:val="center"/>
          </w:tcPr>
          <w:p w14:paraId="254C362A">
            <w:pPr>
              <w:pStyle w:val="61"/>
              <w:ind w:firstLine="0" w:firstLineChars="0"/>
              <w:jc w:val="center"/>
              <w:rPr>
                <w:rFonts w:hint="eastAsia" w:hAnsi="宋体"/>
                <w:sz w:val="18"/>
                <w:highlight w:val="none"/>
              </w:rPr>
            </w:pPr>
            <w:r>
              <w:rPr>
                <w:rFonts w:hint="eastAsia"/>
                <w:sz w:val="18"/>
                <w:highlight w:val="none"/>
              </w:rPr>
              <w:t>备注</w:t>
            </w:r>
          </w:p>
        </w:tc>
      </w:tr>
      <w:tr w14:paraId="5128C92E">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1A8E7D6D">
            <w:pPr>
              <w:pStyle w:val="61"/>
              <w:ind w:firstLine="0" w:firstLineChars="0"/>
              <w:jc w:val="center"/>
              <w:rPr>
                <w:sz w:val="18"/>
                <w:highlight w:val="none"/>
              </w:rPr>
            </w:pPr>
            <w:r>
              <w:rPr>
                <w:rFonts w:hint="eastAsia"/>
                <w:sz w:val="18"/>
                <w:highlight w:val="none"/>
              </w:rPr>
              <w:t>15</w:t>
            </w:r>
          </w:p>
        </w:tc>
        <w:tc>
          <w:tcPr>
            <w:tcW w:w="5689" w:type="dxa"/>
            <w:tcBorders>
              <w:top w:val="single" w:color="000000" w:sz="4" w:space="0"/>
              <w:left w:val="nil"/>
              <w:bottom w:val="single" w:color="000000" w:sz="4" w:space="0"/>
              <w:right w:val="single" w:color="000000" w:sz="4" w:space="0"/>
            </w:tcBorders>
            <w:vAlign w:val="center"/>
          </w:tcPr>
          <w:p w14:paraId="676E87F3">
            <w:pPr>
              <w:pStyle w:val="61"/>
              <w:ind w:firstLine="0" w:firstLineChars="0"/>
              <w:rPr>
                <w:sz w:val="18"/>
                <w:highlight w:val="none"/>
              </w:rPr>
            </w:pPr>
            <w:r>
              <w:rPr>
                <w:rFonts w:hint="eastAsia"/>
                <w:sz w:val="18"/>
                <w:highlight w:val="none"/>
              </w:rPr>
              <w:t>零部件的结合应严密、牢固</w:t>
            </w:r>
          </w:p>
        </w:tc>
        <w:tc>
          <w:tcPr>
            <w:tcW w:w="1847" w:type="dxa"/>
            <w:tcBorders>
              <w:top w:val="single" w:color="000000" w:sz="4" w:space="0"/>
              <w:left w:val="nil"/>
              <w:bottom w:val="single" w:color="000000" w:sz="4" w:space="0"/>
              <w:right w:val="single" w:color="000000" w:sz="4" w:space="0"/>
            </w:tcBorders>
            <w:vAlign w:val="center"/>
          </w:tcPr>
          <w:p w14:paraId="16626ED0">
            <w:pPr>
              <w:pStyle w:val="61"/>
              <w:ind w:firstLine="0" w:firstLineChars="0"/>
              <w:jc w:val="center"/>
              <w:rPr>
                <w:sz w:val="18"/>
                <w:highlight w:val="none"/>
              </w:rPr>
            </w:pPr>
            <w:r>
              <w:rPr>
                <w:rFonts w:hint="eastAsia" w:hAnsi="宋体"/>
                <w:sz w:val="18"/>
                <w:highlight w:val="none"/>
              </w:rPr>
              <w:t>□</w:t>
            </w:r>
            <w:r>
              <w:rPr>
                <w:sz w:val="18"/>
                <w:highlight w:val="none"/>
              </w:rPr>
              <w:t xml:space="preserve">合格 </w:t>
            </w:r>
            <w:r>
              <w:rPr>
                <w:rFonts w:hint="eastAsia"/>
                <w:sz w:val="18"/>
                <w:highlight w:val="none"/>
              </w:rPr>
              <w:t xml:space="preserve"> </w:t>
            </w:r>
            <w:r>
              <w:rPr>
                <w:sz w:val="18"/>
                <w:highlight w:val="none"/>
              </w:rPr>
              <w:t xml:space="preserve"> </w:t>
            </w:r>
            <w:r>
              <w:rPr>
                <w:rFonts w:hint="eastAsia" w:hAnsi="宋体"/>
                <w:sz w:val="18"/>
                <w:highlight w:val="none"/>
              </w:rPr>
              <w:t>□</w:t>
            </w:r>
            <w:r>
              <w:rPr>
                <w:sz w:val="18"/>
                <w:highlight w:val="none"/>
              </w:rPr>
              <w:t>不合格</w:t>
            </w:r>
          </w:p>
        </w:tc>
        <w:tc>
          <w:tcPr>
            <w:tcW w:w="1129" w:type="dxa"/>
            <w:tcBorders>
              <w:top w:val="single" w:color="000000" w:sz="4" w:space="0"/>
              <w:left w:val="nil"/>
              <w:bottom w:val="single" w:color="000000" w:sz="4" w:space="0"/>
              <w:right w:val="single" w:color="auto" w:sz="8" w:space="0"/>
            </w:tcBorders>
            <w:vAlign w:val="center"/>
          </w:tcPr>
          <w:p w14:paraId="5941ECDD">
            <w:pPr>
              <w:pStyle w:val="61"/>
              <w:ind w:firstLine="0" w:firstLineChars="0"/>
              <w:rPr>
                <w:rFonts w:hint="eastAsia" w:hAnsi="宋体"/>
                <w:sz w:val="18"/>
                <w:highlight w:val="none"/>
              </w:rPr>
            </w:pPr>
          </w:p>
        </w:tc>
      </w:tr>
      <w:tr w14:paraId="6A51A756">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24BABCF5">
            <w:pPr>
              <w:pStyle w:val="61"/>
              <w:ind w:firstLine="0" w:firstLineChars="0"/>
              <w:jc w:val="center"/>
              <w:rPr>
                <w:sz w:val="18"/>
                <w:highlight w:val="none"/>
              </w:rPr>
            </w:pPr>
            <w:r>
              <w:rPr>
                <w:rFonts w:hint="eastAsia"/>
                <w:sz w:val="18"/>
                <w:highlight w:val="none"/>
              </w:rPr>
              <w:t>16</w:t>
            </w:r>
          </w:p>
        </w:tc>
        <w:tc>
          <w:tcPr>
            <w:tcW w:w="5689" w:type="dxa"/>
            <w:tcBorders>
              <w:top w:val="single" w:color="000000" w:sz="4" w:space="0"/>
              <w:left w:val="nil"/>
              <w:bottom w:val="single" w:color="000000" w:sz="4" w:space="0"/>
              <w:right w:val="single" w:color="000000" w:sz="4" w:space="0"/>
            </w:tcBorders>
            <w:vAlign w:val="center"/>
          </w:tcPr>
          <w:p w14:paraId="2AEFD547">
            <w:pPr>
              <w:pStyle w:val="61"/>
              <w:ind w:firstLine="0" w:firstLineChars="0"/>
              <w:rPr>
                <w:sz w:val="18"/>
                <w:highlight w:val="none"/>
              </w:rPr>
            </w:pPr>
            <w:r>
              <w:rPr>
                <w:rFonts w:hint="eastAsia"/>
                <w:sz w:val="18"/>
                <w:highlight w:val="none"/>
              </w:rPr>
              <w:t>各种配件、连接件安装不应有少件、透钉、漏钉（预留孔、选择孔除外）</w:t>
            </w:r>
          </w:p>
        </w:tc>
        <w:tc>
          <w:tcPr>
            <w:tcW w:w="1847" w:type="dxa"/>
            <w:tcBorders>
              <w:top w:val="single" w:color="000000" w:sz="4" w:space="0"/>
              <w:left w:val="nil"/>
              <w:bottom w:val="single" w:color="000000" w:sz="4" w:space="0"/>
              <w:right w:val="single" w:color="000000" w:sz="4" w:space="0"/>
            </w:tcBorders>
            <w:vAlign w:val="center"/>
          </w:tcPr>
          <w:p w14:paraId="4DD5C934">
            <w:pPr>
              <w:pStyle w:val="61"/>
              <w:ind w:firstLine="0" w:firstLineChars="0"/>
              <w:jc w:val="center"/>
              <w:rPr>
                <w:sz w:val="18"/>
                <w:highlight w:val="none"/>
              </w:rPr>
            </w:pPr>
            <w:r>
              <w:rPr>
                <w:rFonts w:hint="eastAsia" w:hAnsi="宋体"/>
                <w:sz w:val="18"/>
                <w:highlight w:val="none"/>
              </w:rPr>
              <w:t>□</w:t>
            </w:r>
            <w:r>
              <w:rPr>
                <w:sz w:val="18"/>
                <w:highlight w:val="none"/>
              </w:rPr>
              <w:t xml:space="preserve">合格 </w:t>
            </w:r>
            <w:r>
              <w:rPr>
                <w:rFonts w:hint="eastAsia"/>
                <w:sz w:val="18"/>
                <w:highlight w:val="none"/>
              </w:rPr>
              <w:t xml:space="preserve"> </w:t>
            </w:r>
            <w:r>
              <w:rPr>
                <w:sz w:val="18"/>
                <w:highlight w:val="none"/>
              </w:rPr>
              <w:t xml:space="preserve"> </w:t>
            </w:r>
            <w:r>
              <w:rPr>
                <w:rFonts w:hint="eastAsia" w:hAnsi="宋体"/>
                <w:sz w:val="18"/>
                <w:highlight w:val="none"/>
              </w:rPr>
              <w:t>□</w:t>
            </w:r>
            <w:r>
              <w:rPr>
                <w:sz w:val="18"/>
                <w:highlight w:val="none"/>
              </w:rPr>
              <w:t>不合格</w:t>
            </w:r>
          </w:p>
        </w:tc>
        <w:tc>
          <w:tcPr>
            <w:tcW w:w="1129" w:type="dxa"/>
            <w:tcBorders>
              <w:top w:val="single" w:color="000000" w:sz="4" w:space="0"/>
              <w:left w:val="nil"/>
              <w:bottom w:val="single" w:color="000000" w:sz="4" w:space="0"/>
              <w:right w:val="single" w:color="auto" w:sz="8" w:space="0"/>
            </w:tcBorders>
            <w:vAlign w:val="center"/>
          </w:tcPr>
          <w:p w14:paraId="1D94A383">
            <w:pPr>
              <w:pStyle w:val="61"/>
              <w:ind w:firstLine="0" w:firstLineChars="0"/>
              <w:rPr>
                <w:rFonts w:hint="eastAsia" w:hAnsi="宋体"/>
                <w:sz w:val="18"/>
                <w:highlight w:val="none"/>
              </w:rPr>
            </w:pPr>
          </w:p>
        </w:tc>
      </w:tr>
      <w:tr w14:paraId="23AC3EB0">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598D8AC6">
            <w:pPr>
              <w:pStyle w:val="61"/>
              <w:ind w:firstLine="0" w:firstLineChars="0"/>
              <w:jc w:val="center"/>
              <w:rPr>
                <w:sz w:val="18"/>
                <w:highlight w:val="none"/>
              </w:rPr>
            </w:pPr>
            <w:r>
              <w:rPr>
                <w:rFonts w:hint="eastAsia"/>
                <w:sz w:val="18"/>
                <w:highlight w:val="none"/>
              </w:rPr>
              <w:t>17</w:t>
            </w:r>
          </w:p>
        </w:tc>
        <w:tc>
          <w:tcPr>
            <w:tcW w:w="5689" w:type="dxa"/>
            <w:tcBorders>
              <w:top w:val="single" w:color="000000" w:sz="4" w:space="0"/>
              <w:left w:val="nil"/>
              <w:bottom w:val="single" w:color="000000" w:sz="4" w:space="0"/>
              <w:right w:val="single" w:color="000000" w:sz="4" w:space="0"/>
            </w:tcBorders>
            <w:vAlign w:val="center"/>
          </w:tcPr>
          <w:p w14:paraId="2611A36D">
            <w:pPr>
              <w:pStyle w:val="61"/>
              <w:ind w:firstLine="0" w:firstLineChars="0"/>
              <w:rPr>
                <w:sz w:val="18"/>
                <w:highlight w:val="none"/>
              </w:rPr>
            </w:pPr>
            <w:r>
              <w:rPr>
                <w:rFonts w:hint="eastAsia"/>
                <w:sz w:val="18"/>
                <w:highlight w:val="none"/>
              </w:rPr>
              <w:t>各种配件安装应严密、平整、端正、牢同,结合处成无开裂或松动</w:t>
            </w:r>
          </w:p>
        </w:tc>
        <w:tc>
          <w:tcPr>
            <w:tcW w:w="1847" w:type="dxa"/>
            <w:tcBorders>
              <w:top w:val="single" w:color="000000" w:sz="4" w:space="0"/>
              <w:left w:val="nil"/>
              <w:bottom w:val="single" w:color="000000" w:sz="4" w:space="0"/>
              <w:right w:val="single" w:color="000000" w:sz="4" w:space="0"/>
            </w:tcBorders>
            <w:vAlign w:val="center"/>
          </w:tcPr>
          <w:p w14:paraId="0DB749BE">
            <w:pPr>
              <w:pStyle w:val="61"/>
              <w:ind w:firstLine="0" w:firstLineChars="0"/>
              <w:jc w:val="center"/>
              <w:rPr>
                <w:sz w:val="18"/>
                <w:highlight w:val="none"/>
              </w:rPr>
            </w:pPr>
            <w:r>
              <w:rPr>
                <w:rFonts w:hint="eastAsia" w:hAnsi="宋体"/>
                <w:sz w:val="18"/>
                <w:highlight w:val="none"/>
              </w:rPr>
              <w:t>□</w:t>
            </w:r>
            <w:r>
              <w:rPr>
                <w:sz w:val="18"/>
                <w:highlight w:val="none"/>
              </w:rPr>
              <w:t xml:space="preserve">合格 </w:t>
            </w:r>
            <w:r>
              <w:rPr>
                <w:rFonts w:hint="eastAsia"/>
                <w:sz w:val="18"/>
                <w:highlight w:val="none"/>
              </w:rPr>
              <w:t xml:space="preserve"> </w:t>
            </w:r>
            <w:r>
              <w:rPr>
                <w:sz w:val="18"/>
                <w:highlight w:val="none"/>
              </w:rPr>
              <w:t xml:space="preserve"> </w:t>
            </w:r>
            <w:r>
              <w:rPr>
                <w:rFonts w:hint="eastAsia" w:hAnsi="宋体"/>
                <w:sz w:val="18"/>
                <w:highlight w:val="none"/>
              </w:rPr>
              <w:t>□</w:t>
            </w:r>
            <w:r>
              <w:rPr>
                <w:sz w:val="18"/>
                <w:highlight w:val="none"/>
              </w:rPr>
              <w:t>不合格</w:t>
            </w:r>
          </w:p>
        </w:tc>
        <w:tc>
          <w:tcPr>
            <w:tcW w:w="1129" w:type="dxa"/>
            <w:tcBorders>
              <w:top w:val="single" w:color="000000" w:sz="4" w:space="0"/>
              <w:left w:val="nil"/>
              <w:bottom w:val="single" w:color="000000" w:sz="4" w:space="0"/>
              <w:right w:val="single" w:color="auto" w:sz="8" w:space="0"/>
            </w:tcBorders>
            <w:vAlign w:val="center"/>
          </w:tcPr>
          <w:p w14:paraId="4B94B9E4">
            <w:pPr>
              <w:pStyle w:val="61"/>
              <w:ind w:firstLine="0" w:firstLineChars="0"/>
              <w:rPr>
                <w:rFonts w:hint="eastAsia" w:hAnsi="宋体"/>
                <w:sz w:val="18"/>
                <w:highlight w:val="none"/>
              </w:rPr>
            </w:pPr>
          </w:p>
        </w:tc>
      </w:tr>
      <w:tr w14:paraId="6E246F31">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21EDBE21">
            <w:pPr>
              <w:pStyle w:val="61"/>
              <w:ind w:firstLine="0" w:firstLineChars="0"/>
              <w:jc w:val="center"/>
              <w:rPr>
                <w:sz w:val="18"/>
                <w:highlight w:val="none"/>
              </w:rPr>
            </w:pPr>
            <w:r>
              <w:rPr>
                <w:rFonts w:hint="eastAsia"/>
                <w:sz w:val="18"/>
                <w:highlight w:val="none"/>
              </w:rPr>
              <w:t>18</w:t>
            </w:r>
          </w:p>
        </w:tc>
        <w:tc>
          <w:tcPr>
            <w:tcW w:w="5689" w:type="dxa"/>
            <w:tcBorders>
              <w:top w:val="single" w:color="000000" w:sz="4" w:space="0"/>
              <w:left w:val="nil"/>
              <w:bottom w:val="single" w:color="000000" w:sz="4" w:space="0"/>
              <w:right w:val="single" w:color="000000" w:sz="4" w:space="0"/>
            </w:tcBorders>
            <w:vAlign w:val="center"/>
          </w:tcPr>
          <w:p w14:paraId="38A3C9D0">
            <w:pPr>
              <w:pStyle w:val="61"/>
              <w:ind w:firstLine="0" w:firstLineChars="0"/>
              <w:rPr>
                <w:sz w:val="18"/>
                <w:highlight w:val="none"/>
              </w:rPr>
            </w:pPr>
            <w:r>
              <w:rPr>
                <w:rFonts w:hint="eastAsia"/>
                <w:sz w:val="18"/>
                <w:highlight w:val="none"/>
              </w:rPr>
              <w:t>家具锁应锁定到位、开启灵活</w:t>
            </w:r>
          </w:p>
        </w:tc>
        <w:tc>
          <w:tcPr>
            <w:tcW w:w="1847" w:type="dxa"/>
            <w:tcBorders>
              <w:top w:val="single" w:color="000000" w:sz="4" w:space="0"/>
              <w:left w:val="nil"/>
              <w:bottom w:val="single" w:color="000000" w:sz="4" w:space="0"/>
              <w:right w:val="single" w:color="000000" w:sz="4" w:space="0"/>
            </w:tcBorders>
            <w:vAlign w:val="center"/>
          </w:tcPr>
          <w:p w14:paraId="7E81F186">
            <w:pPr>
              <w:pStyle w:val="61"/>
              <w:ind w:firstLine="0" w:firstLineChars="0"/>
              <w:jc w:val="center"/>
              <w:rPr>
                <w:sz w:val="18"/>
                <w:highlight w:val="none"/>
              </w:rPr>
            </w:pPr>
            <w:r>
              <w:rPr>
                <w:rFonts w:hint="eastAsia" w:hAnsi="宋体"/>
                <w:sz w:val="18"/>
                <w:highlight w:val="none"/>
              </w:rPr>
              <w:t>□</w:t>
            </w:r>
            <w:r>
              <w:rPr>
                <w:sz w:val="18"/>
                <w:highlight w:val="none"/>
              </w:rPr>
              <w:t xml:space="preserve">合格 </w:t>
            </w:r>
            <w:r>
              <w:rPr>
                <w:rFonts w:hint="eastAsia"/>
                <w:sz w:val="18"/>
                <w:highlight w:val="none"/>
              </w:rPr>
              <w:t xml:space="preserve"> </w:t>
            </w:r>
            <w:r>
              <w:rPr>
                <w:sz w:val="18"/>
                <w:highlight w:val="none"/>
              </w:rPr>
              <w:t xml:space="preserve"> </w:t>
            </w:r>
            <w:r>
              <w:rPr>
                <w:rFonts w:hint="eastAsia" w:hAnsi="宋体"/>
                <w:sz w:val="18"/>
                <w:highlight w:val="none"/>
              </w:rPr>
              <w:t>□</w:t>
            </w:r>
            <w:r>
              <w:rPr>
                <w:sz w:val="18"/>
                <w:highlight w:val="none"/>
              </w:rPr>
              <w:t>不合格</w:t>
            </w:r>
          </w:p>
        </w:tc>
        <w:tc>
          <w:tcPr>
            <w:tcW w:w="1129" w:type="dxa"/>
            <w:tcBorders>
              <w:top w:val="single" w:color="000000" w:sz="4" w:space="0"/>
              <w:left w:val="nil"/>
              <w:bottom w:val="single" w:color="000000" w:sz="4" w:space="0"/>
              <w:right w:val="single" w:color="auto" w:sz="8" w:space="0"/>
            </w:tcBorders>
            <w:vAlign w:val="center"/>
          </w:tcPr>
          <w:p w14:paraId="5A1B8E06">
            <w:pPr>
              <w:pStyle w:val="61"/>
              <w:ind w:firstLine="0" w:firstLineChars="0"/>
              <w:rPr>
                <w:rFonts w:hint="eastAsia" w:hAnsi="宋体"/>
                <w:sz w:val="18"/>
                <w:highlight w:val="none"/>
              </w:rPr>
            </w:pPr>
          </w:p>
        </w:tc>
      </w:tr>
      <w:tr w14:paraId="4D61B49A">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06CAA40A">
            <w:pPr>
              <w:pStyle w:val="61"/>
              <w:ind w:firstLine="0" w:firstLineChars="0"/>
              <w:jc w:val="center"/>
              <w:rPr>
                <w:sz w:val="18"/>
                <w:highlight w:val="none"/>
              </w:rPr>
            </w:pPr>
            <w:r>
              <w:rPr>
                <w:rFonts w:hint="eastAsia"/>
                <w:sz w:val="18"/>
                <w:highlight w:val="none"/>
              </w:rPr>
              <w:t>19</w:t>
            </w:r>
          </w:p>
        </w:tc>
        <w:tc>
          <w:tcPr>
            <w:tcW w:w="5689" w:type="dxa"/>
            <w:tcBorders>
              <w:top w:val="single" w:color="000000" w:sz="4" w:space="0"/>
              <w:left w:val="nil"/>
              <w:bottom w:val="single" w:color="000000" w:sz="4" w:space="0"/>
              <w:right w:val="single" w:color="000000" w:sz="4" w:space="0"/>
            </w:tcBorders>
            <w:vAlign w:val="center"/>
          </w:tcPr>
          <w:p w14:paraId="2703C337">
            <w:pPr>
              <w:pStyle w:val="61"/>
              <w:ind w:firstLine="0" w:firstLineChars="0"/>
              <w:rPr>
                <w:sz w:val="18"/>
                <w:highlight w:val="none"/>
              </w:rPr>
            </w:pPr>
            <w:r>
              <w:rPr>
                <w:rFonts w:hint="eastAsia"/>
                <w:sz w:val="18"/>
                <w:highlight w:val="none"/>
              </w:rPr>
              <w:t>家具产品整体结构应牢固，底脚平稳性≤2 mm</w:t>
            </w:r>
          </w:p>
        </w:tc>
        <w:tc>
          <w:tcPr>
            <w:tcW w:w="1847" w:type="dxa"/>
            <w:tcBorders>
              <w:top w:val="single" w:color="000000" w:sz="4" w:space="0"/>
              <w:left w:val="nil"/>
              <w:bottom w:val="single" w:color="000000" w:sz="4" w:space="0"/>
              <w:right w:val="single" w:color="000000" w:sz="4" w:space="0"/>
            </w:tcBorders>
            <w:vAlign w:val="center"/>
          </w:tcPr>
          <w:p w14:paraId="5664D591">
            <w:pPr>
              <w:pStyle w:val="61"/>
              <w:ind w:firstLine="0" w:firstLineChars="0"/>
              <w:jc w:val="center"/>
              <w:rPr>
                <w:sz w:val="18"/>
                <w:highlight w:val="none"/>
              </w:rPr>
            </w:pPr>
            <w:r>
              <w:rPr>
                <w:rFonts w:hint="eastAsia" w:hAnsi="宋体"/>
                <w:sz w:val="18"/>
                <w:highlight w:val="none"/>
              </w:rPr>
              <w:t>□</w:t>
            </w:r>
            <w:r>
              <w:rPr>
                <w:sz w:val="18"/>
                <w:highlight w:val="none"/>
              </w:rPr>
              <w:t xml:space="preserve">合格 </w:t>
            </w:r>
            <w:r>
              <w:rPr>
                <w:rFonts w:hint="eastAsia"/>
                <w:sz w:val="18"/>
                <w:highlight w:val="none"/>
              </w:rPr>
              <w:t xml:space="preserve"> </w:t>
            </w:r>
            <w:r>
              <w:rPr>
                <w:sz w:val="18"/>
                <w:highlight w:val="none"/>
              </w:rPr>
              <w:t xml:space="preserve"> </w:t>
            </w:r>
            <w:r>
              <w:rPr>
                <w:rFonts w:hint="eastAsia" w:hAnsi="宋体"/>
                <w:sz w:val="18"/>
                <w:highlight w:val="none"/>
              </w:rPr>
              <w:t>□</w:t>
            </w:r>
            <w:r>
              <w:rPr>
                <w:sz w:val="18"/>
                <w:highlight w:val="none"/>
              </w:rPr>
              <w:t>不合格</w:t>
            </w:r>
          </w:p>
        </w:tc>
        <w:tc>
          <w:tcPr>
            <w:tcW w:w="1129" w:type="dxa"/>
            <w:tcBorders>
              <w:top w:val="single" w:color="000000" w:sz="4" w:space="0"/>
              <w:left w:val="nil"/>
              <w:bottom w:val="single" w:color="000000" w:sz="4" w:space="0"/>
              <w:right w:val="single" w:color="auto" w:sz="8" w:space="0"/>
            </w:tcBorders>
            <w:vAlign w:val="center"/>
          </w:tcPr>
          <w:p w14:paraId="75620B8A">
            <w:pPr>
              <w:pStyle w:val="61"/>
              <w:ind w:firstLine="0" w:firstLineChars="0"/>
              <w:rPr>
                <w:rFonts w:hint="eastAsia" w:hAnsi="宋体"/>
                <w:sz w:val="18"/>
                <w:highlight w:val="none"/>
              </w:rPr>
            </w:pPr>
          </w:p>
        </w:tc>
      </w:tr>
      <w:tr w14:paraId="514ACF6B">
        <w:tblPrEx>
          <w:tblCellMar>
            <w:top w:w="0" w:type="dxa"/>
            <w:left w:w="0" w:type="dxa"/>
            <w:bottom w:w="0" w:type="dxa"/>
            <w:right w:w="0" w:type="dxa"/>
          </w:tblCellMar>
        </w:tblPrEx>
        <w:trPr>
          <w:trHeight w:val="540"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385A615F">
            <w:pPr>
              <w:pStyle w:val="61"/>
              <w:ind w:firstLine="0" w:firstLineChars="0"/>
              <w:jc w:val="center"/>
              <w:rPr>
                <w:sz w:val="18"/>
                <w:highlight w:val="none"/>
              </w:rPr>
            </w:pPr>
            <w:r>
              <w:rPr>
                <w:rFonts w:hint="eastAsia"/>
                <w:sz w:val="18"/>
                <w:highlight w:val="none"/>
              </w:rPr>
              <w:t>20</w:t>
            </w:r>
          </w:p>
        </w:tc>
        <w:tc>
          <w:tcPr>
            <w:tcW w:w="5689" w:type="dxa"/>
            <w:tcBorders>
              <w:top w:val="single" w:color="000000" w:sz="4" w:space="0"/>
              <w:left w:val="nil"/>
              <w:bottom w:val="single" w:color="000000" w:sz="4" w:space="0"/>
              <w:right w:val="single" w:color="000000" w:sz="4" w:space="0"/>
            </w:tcBorders>
            <w:vAlign w:val="center"/>
          </w:tcPr>
          <w:p w14:paraId="7E5642CA">
            <w:pPr>
              <w:pStyle w:val="61"/>
              <w:ind w:firstLine="0" w:firstLineChars="0"/>
              <w:rPr>
                <w:sz w:val="18"/>
                <w:highlight w:val="none"/>
              </w:rPr>
            </w:pPr>
            <w:r>
              <w:rPr>
                <w:rFonts w:hint="eastAsia"/>
                <w:sz w:val="18"/>
                <w:highlight w:val="none"/>
              </w:rPr>
              <w:t>定制木家具、金属家具、玻璃家具、塑料家具等硬质材料生产的产品的所有分缝（非设计要求时）≤2 mm</w:t>
            </w:r>
          </w:p>
        </w:tc>
        <w:tc>
          <w:tcPr>
            <w:tcW w:w="1847" w:type="dxa"/>
            <w:tcBorders>
              <w:top w:val="single" w:color="000000" w:sz="4" w:space="0"/>
              <w:left w:val="nil"/>
              <w:bottom w:val="single" w:color="000000" w:sz="4" w:space="0"/>
              <w:right w:val="single" w:color="000000" w:sz="4" w:space="0"/>
            </w:tcBorders>
            <w:vAlign w:val="center"/>
          </w:tcPr>
          <w:p w14:paraId="4E4D31F3">
            <w:pPr>
              <w:pStyle w:val="61"/>
              <w:ind w:firstLine="0" w:firstLineChars="0"/>
              <w:jc w:val="center"/>
              <w:rPr>
                <w:sz w:val="18"/>
                <w:highlight w:val="none"/>
              </w:rPr>
            </w:pPr>
            <w:r>
              <w:rPr>
                <w:rFonts w:hint="eastAsia" w:hAnsi="宋体"/>
                <w:sz w:val="18"/>
                <w:highlight w:val="none"/>
              </w:rPr>
              <w:t>□</w:t>
            </w:r>
            <w:r>
              <w:rPr>
                <w:sz w:val="18"/>
                <w:highlight w:val="none"/>
              </w:rPr>
              <w:t xml:space="preserve">合格 </w:t>
            </w:r>
            <w:r>
              <w:rPr>
                <w:rFonts w:hint="eastAsia"/>
                <w:sz w:val="18"/>
                <w:highlight w:val="none"/>
              </w:rPr>
              <w:t xml:space="preserve"> </w:t>
            </w:r>
            <w:r>
              <w:rPr>
                <w:sz w:val="18"/>
                <w:highlight w:val="none"/>
              </w:rPr>
              <w:t xml:space="preserve"> </w:t>
            </w:r>
            <w:r>
              <w:rPr>
                <w:rFonts w:hint="eastAsia" w:hAnsi="宋体"/>
                <w:sz w:val="18"/>
                <w:highlight w:val="none"/>
              </w:rPr>
              <w:t>□</w:t>
            </w:r>
            <w:r>
              <w:rPr>
                <w:sz w:val="18"/>
                <w:highlight w:val="none"/>
              </w:rPr>
              <w:t>不合格</w:t>
            </w:r>
          </w:p>
        </w:tc>
        <w:tc>
          <w:tcPr>
            <w:tcW w:w="1129" w:type="dxa"/>
            <w:tcBorders>
              <w:top w:val="single" w:color="000000" w:sz="4" w:space="0"/>
              <w:left w:val="nil"/>
              <w:bottom w:val="single" w:color="000000" w:sz="4" w:space="0"/>
              <w:right w:val="single" w:color="auto" w:sz="8" w:space="0"/>
            </w:tcBorders>
            <w:vAlign w:val="center"/>
          </w:tcPr>
          <w:p w14:paraId="028206C8">
            <w:pPr>
              <w:pStyle w:val="61"/>
              <w:ind w:firstLine="0" w:firstLineChars="0"/>
              <w:rPr>
                <w:rFonts w:hint="eastAsia" w:hAnsi="宋体"/>
                <w:sz w:val="18"/>
                <w:highlight w:val="none"/>
              </w:rPr>
            </w:pPr>
          </w:p>
        </w:tc>
      </w:tr>
      <w:tr w14:paraId="0059AD30">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3E040E85">
            <w:pPr>
              <w:pStyle w:val="61"/>
              <w:ind w:firstLine="0" w:firstLineChars="0"/>
              <w:jc w:val="center"/>
              <w:rPr>
                <w:sz w:val="18"/>
              </w:rPr>
            </w:pPr>
            <w:r>
              <w:rPr>
                <w:rFonts w:hint="eastAsia"/>
                <w:sz w:val="18"/>
              </w:rPr>
              <w:t>21</w:t>
            </w:r>
          </w:p>
        </w:tc>
        <w:tc>
          <w:tcPr>
            <w:tcW w:w="5689" w:type="dxa"/>
            <w:tcBorders>
              <w:top w:val="single" w:color="000000" w:sz="4" w:space="0"/>
              <w:left w:val="nil"/>
              <w:bottom w:val="single" w:color="000000" w:sz="4" w:space="0"/>
              <w:right w:val="single" w:color="000000" w:sz="4" w:space="0"/>
            </w:tcBorders>
            <w:vAlign w:val="center"/>
          </w:tcPr>
          <w:p w14:paraId="3CADDC35">
            <w:pPr>
              <w:pStyle w:val="61"/>
              <w:ind w:firstLine="0" w:firstLineChars="0"/>
              <w:rPr>
                <w:sz w:val="18"/>
              </w:rPr>
            </w:pPr>
            <w:r>
              <w:rPr>
                <w:rFonts w:hint="eastAsia"/>
                <w:sz w:val="18"/>
              </w:rPr>
              <w:t>家具产品与墙体连接处应进行封闭处理</w:t>
            </w:r>
          </w:p>
        </w:tc>
        <w:tc>
          <w:tcPr>
            <w:tcW w:w="1847" w:type="dxa"/>
            <w:tcBorders>
              <w:top w:val="single" w:color="000000" w:sz="4" w:space="0"/>
              <w:left w:val="nil"/>
              <w:bottom w:val="single" w:color="000000" w:sz="4" w:space="0"/>
              <w:right w:val="single" w:color="000000" w:sz="4" w:space="0"/>
            </w:tcBorders>
            <w:vAlign w:val="center"/>
          </w:tcPr>
          <w:p w14:paraId="74E5B990">
            <w:pPr>
              <w:pStyle w:val="61"/>
              <w:ind w:firstLine="0" w:firstLineChars="0"/>
              <w:jc w:val="center"/>
              <w:rPr>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tcBorders>
              <w:top w:val="single" w:color="000000" w:sz="4" w:space="0"/>
              <w:left w:val="nil"/>
              <w:bottom w:val="single" w:color="000000" w:sz="4" w:space="0"/>
              <w:right w:val="single" w:color="auto" w:sz="8" w:space="0"/>
            </w:tcBorders>
            <w:vAlign w:val="center"/>
          </w:tcPr>
          <w:p w14:paraId="2C0CC120">
            <w:pPr>
              <w:pStyle w:val="61"/>
              <w:ind w:firstLine="0" w:firstLineChars="0"/>
              <w:rPr>
                <w:rFonts w:hint="eastAsia" w:hAnsi="宋体"/>
                <w:sz w:val="18"/>
              </w:rPr>
            </w:pPr>
          </w:p>
        </w:tc>
      </w:tr>
      <w:tr w14:paraId="54BF714E">
        <w:tblPrEx>
          <w:tblCellMar>
            <w:top w:w="0" w:type="dxa"/>
            <w:left w:w="0" w:type="dxa"/>
            <w:bottom w:w="0" w:type="dxa"/>
            <w:right w:w="0" w:type="dxa"/>
          </w:tblCellMar>
        </w:tblPrEx>
        <w:trPr>
          <w:trHeight w:val="285" w:hRule="atLeast"/>
        </w:trPr>
        <w:tc>
          <w:tcPr>
            <w:tcW w:w="709" w:type="dxa"/>
            <w:tcBorders>
              <w:top w:val="single" w:color="000000" w:sz="4" w:space="0"/>
              <w:left w:val="single" w:color="auto" w:sz="8" w:space="0"/>
              <w:bottom w:val="single" w:color="000000" w:sz="4" w:space="0"/>
              <w:right w:val="single" w:color="000000" w:sz="4" w:space="0"/>
            </w:tcBorders>
            <w:vAlign w:val="center"/>
          </w:tcPr>
          <w:p w14:paraId="0B55C5A2">
            <w:pPr>
              <w:pStyle w:val="61"/>
              <w:ind w:firstLine="0" w:firstLineChars="0"/>
              <w:jc w:val="center"/>
              <w:rPr>
                <w:sz w:val="18"/>
              </w:rPr>
            </w:pPr>
            <w:r>
              <w:rPr>
                <w:rFonts w:hint="eastAsia"/>
                <w:sz w:val="18"/>
              </w:rPr>
              <w:t>22</w:t>
            </w:r>
          </w:p>
        </w:tc>
        <w:tc>
          <w:tcPr>
            <w:tcW w:w="5689" w:type="dxa"/>
            <w:tcBorders>
              <w:top w:val="single" w:color="000000" w:sz="4" w:space="0"/>
              <w:left w:val="nil"/>
              <w:bottom w:val="single" w:color="000000" w:sz="4" w:space="0"/>
              <w:right w:val="single" w:color="000000" w:sz="4" w:space="0"/>
            </w:tcBorders>
            <w:vAlign w:val="center"/>
          </w:tcPr>
          <w:p w14:paraId="748B9E5C">
            <w:pPr>
              <w:pStyle w:val="61"/>
              <w:ind w:firstLine="0" w:firstLineChars="0"/>
              <w:rPr>
                <w:sz w:val="18"/>
              </w:rPr>
            </w:pPr>
            <w:r>
              <w:rPr>
                <w:rFonts w:hint="eastAsia"/>
                <w:sz w:val="18"/>
              </w:rPr>
              <w:t>电子部件安全/可靠</w:t>
            </w:r>
          </w:p>
        </w:tc>
        <w:tc>
          <w:tcPr>
            <w:tcW w:w="1847" w:type="dxa"/>
            <w:tcBorders>
              <w:top w:val="single" w:color="000000" w:sz="4" w:space="0"/>
              <w:left w:val="nil"/>
              <w:bottom w:val="single" w:color="000000" w:sz="4" w:space="0"/>
              <w:right w:val="single" w:color="000000" w:sz="4" w:space="0"/>
            </w:tcBorders>
            <w:vAlign w:val="center"/>
          </w:tcPr>
          <w:p w14:paraId="2B4714B8">
            <w:pPr>
              <w:pStyle w:val="61"/>
              <w:ind w:firstLine="0" w:firstLineChars="0"/>
              <w:jc w:val="center"/>
              <w:rPr>
                <w:rFonts w:hint="eastAsia" w:hAnsi="宋体"/>
                <w:sz w:val="18"/>
              </w:rPr>
            </w:pPr>
            <w:r>
              <w:rPr>
                <w:rFonts w:hint="eastAsia" w:hAnsi="宋体"/>
                <w:sz w:val="18"/>
              </w:rPr>
              <w:t>□</w:t>
            </w:r>
            <w:r>
              <w:rPr>
                <w:sz w:val="18"/>
              </w:rPr>
              <w:t xml:space="preserve">合格 </w:t>
            </w:r>
            <w:r>
              <w:rPr>
                <w:rFonts w:hint="eastAsia"/>
                <w:sz w:val="18"/>
              </w:rPr>
              <w:t xml:space="preserve"> </w:t>
            </w:r>
            <w:r>
              <w:rPr>
                <w:sz w:val="18"/>
              </w:rPr>
              <w:t xml:space="preserve"> </w:t>
            </w:r>
            <w:r>
              <w:rPr>
                <w:rFonts w:hint="eastAsia" w:hAnsi="宋体"/>
                <w:sz w:val="18"/>
              </w:rPr>
              <w:t>□</w:t>
            </w:r>
            <w:r>
              <w:rPr>
                <w:sz w:val="18"/>
              </w:rPr>
              <w:t>不合格</w:t>
            </w:r>
          </w:p>
        </w:tc>
        <w:tc>
          <w:tcPr>
            <w:tcW w:w="1129" w:type="dxa"/>
            <w:tcBorders>
              <w:top w:val="single" w:color="000000" w:sz="4" w:space="0"/>
              <w:left w:val="nil"/>
              <w:bottom w:val="single" w:color="000000" w:sz="4" w:space="0"/>
              <w:right w:val="single" w:color="auto" w:sz="8" w:space="0"/>
            </w:tcBorders>
            <w:vAlign w:val="center"/>
          </w:tcPr>
          <w:p w14:paraId="60F2915C">
            <w:pPr>
              <w:pStyle w:val="61"/>
              <w:ind w:firstLine="0" w:firstLineChars="0"/>
              <w:rPr>
                <w:rFonts w:hint="eastAsia" w:hAnsi="宋体"/>
                <w:sz w:val="18"/>
              </w:rPr>
            </w:pPr>
          </w:p>
        </w:tc>
      </w:tr>
      <w:tr w14:paraId="46957243">
        <w:tblPrEx>
          <w:tblCellMar>
            <w:top w:w="0" w:type="dxa"/>
            <w:left w:w="0" w:type="dxa"/>
            <w:bottom w:w="0" w:type="dxa"/>
            <w:right w:w="0" w:type="dxa"/>
          </w:tblCellMar>
        </w:tblPrEx>
        <w:trPr>
          <w:trHeight w:val="260" w:hRule="atLeast"/>
        </w:trPr>
        <w:tc>
          <w:tcPr>
            <w:tcW w:w="9374" w:type="dxa"/>
            <w:gridSpan w:val="4"/>
            <w:tcBorders>
              <w:top w:val="single" w:color="000000" w:sz="4" w:space="0"/>
              <w:left w:val="single" w:color="auto" w:sz="8" w:space="0"/>
              <w:bottom w:val="single" w:color="000000" w:sz="4" w:space="0"/>
              <w:right w:val="single" w:color="auto" w:sz="8" w:space="0"/>
            </w:tcBorders>
            <w:vAlign w:val="center"/>
          </w:tcPr>
          <w:p w14:paraId="4F6A92FA">
            <w:pPr>
              <w:pStyle w:val="61"/>
              <w:ind w:firstLine="180" w:firstLineChars="100"/>
              <w:rPr>
                <w:rFonts w:hint="eastAsia" w:hAnsi="宋体"/>
                <w:sz w:val="18"/>
              </w:rPr>
            </w:pPr>
            <w:r>
              <w:rPr>
                <w:rFonts w:hint="eastAsia" w:hAnsi="宋体"/>
                <w:sz w:val="18"/>
              </w:rPr>
              <w:t>其他：</w:t>
            </w:r>
          </w:p>
        </w:tc>
      </w:tr>
      <w:tr w14:paraId="01E752FF">
        <w:tblPrEx>
          <w:tblCellMar>
            <w:top w:w="0" w:type="dxa"/>
            <w:left w:w="0" w:type="dxa"/>
            <w:bottom w:w="0" w:type="dxa"/>
            <w:right w:w="0" w:type="dxa"/>
          </w:tblCellMar>
        </w:tblPrEx>
        <w:trPr>
          <w:trHeight w:val="1087" w:hRule="atLeast"/>
        </w:trPr>
        <w:tc>
          <w:tcPr>
            <w:tcW w:w="9374" w:type="dxa"/>
            <w:gridSpan w:val="4"/>
            <w:tcBorders>
              <w:top w:val="single" w:color="auto" w:sz="4" w:space="0"/>
              <w:left w:val="single" w:color="auto" w:sz="8" w:space="0"/>
              <w:bottom w:val="single" w:color="auto" w:sz="4" w:space="0"/>
              <w:right w:val="single" w:color="auto" w:sz="8" w:space="0"/>
            </w:tcBorders>
            <w:noWrap/>
            <w:vAlign w:val="center"/>
          </w:tcPr>
          <w:p w14:paraId="6E4D4E54">
            <w:pPr>
              <w:pStyle w:val="61"/>
              <w:spacing w:line="220" w:lineRule="exact"/>
              <w:ind w:firstLine="0" w:firstLineChars="0"/>
              <w:rPr>
                <w:sz w:val="18"/>
              </w:rPr>
            </w:pPr>
            <w:r>
              <w:rPr>
                <w:rFonts w:hint="eastAsia"/>
                <w:sz w:val="18"/>
              </w:rPr>
              <w:t>整改建议：</w:t>
            </w:r>
          </w:p>
          <w:p w14:paraId="26C2CC20">
            <w:pPr>
              <w:pStyle w:val="61"/>
              <w:spacing w:line="220" w:lineRule="exact"/>
              <w:ind w:firstLine="1260" w:firstLineChars="700"/>
              <w:rPr>
                <w:sz w:val="18"/>
              </w:rPr>
            </w:pPr>
            <w:r>
              <w:rPr>
                <w:rFonts w:hint="eastAsia"/>
                <w:sz w:val="18"/>
              </w:rPr>
              <w:t>客户签字：                                        安装服务人员签字：</w:t>
            </w:r>
          </w:p>
          <w:p w14:paraId="1A1DB8C6">
            <w:pPr>
              <w:pStyle w:val="61"/>
              <w:spacing w:line="220" w:lineRule="exact"/>
              <w:ind w:firstLine="0" w:firstLineChars="0"/>
              <w:rPr>
                <w:sz w:val="18"/>
              </w:rPr>
            </w:pPr>
            <w:r>
              <w:rPr>
                <w:rFonts w:hint="eastAsia"/>
                <w:sz w:val="18"/>
              </w:rPr>
              <w:t xml:space="preserve">                            年   月   日                                              年   月   日</w:t>
            </w:r>
          </w:p>
          <w:p w14:paraId="014652E9">
            <w:pPr>
              <w:pStyle w:val="61"/>
              <w:spacing w:line="220" w:lineRule="exact"/>
              <w:ind w:firstLine="0" w:firstLineChars="0"/>
              <w:rPr>
                <w:sz w:val="18"/>
              </w:rPr>
            </w:pPr>
            <w:r>
              <w:rPr>
                <w:rFonts w:hint="eastAsia"/>
                <w:sz w:val="18"/>
              </w:rPr>
              <w:t>（本验收单一式两份，双方签字生效）</w:t>
            </w:r>
          </w:p>
        </w:tc>
      </w:tr>
    </w:tbl>
    <w:p w14:paraId="2267A368">
      <w:pPr>
        <w:pStyle w:val="167"/>
        <w:numPr>
          <w:ilvl w:val="0"/>
          <w:numId w:val="0"/>
        </w:numPr>
      </w:pPr>
    </w:p>
    <w:p w14:paraId="7CF4968B">
      <w:pPr>
        <w:pStyle w:val="167"/>
        <w:numPr>
          <w:ilvl w:val="0"/>
          <w:numId w:val="0"/>
        </w:numPr>
      </w:pPr>
    </w:p>
    <w:p w14:paraId="4E40482C">
      <w:pPr>
        <w:pStyle w:val="167"/>
        <w:numPr>
          <w:ilvl w:val="0"/>
          <w:numId w:val="0"/>
        </w:numPr>
      </w:pPr>
    </w:p>
    <w:p w14:paraId="131D90FC">
      <w:pPr>
        <w:pStyle w:val="167"/>
        <w:numPr>
          <w:ilvl w:val="0"/>
          <w:numId w:val="0"/>
        </w:numPr>
      </w:pPr>
    </w:p>
    <w:p w14:paraId="704FD495">
      <w:pPr>
        <w:pStyle w:val="167"/>
        <w:numPr>
          <w:ilvl w:val="0"/>
          <w:numId w:val="0"/>
        </w:numPr>
      </w:pPr>
    </w:p>
    <w:bookmarkEnd w:id="158"/>
    <w:bookmarkEnd w:id="159"/>
    <w:bookmarkEnd w:id="160"/>
    <w:bookmarkEnd w:id="161"/>
    <w:bookmarkEnd w:id="233"/>
    <w:p w14:paraId="419B4B72">
      <w:pPr>
        <w:pStyle w:val="61"/>
        <w:ind w:firstLine="0" w:firstLineChars="0"/>
        <w:jc w:val="center"/>
      </w:pPr>
      <w:bookmarkStart w:id="234" w:name="BookMark8"/>
      <w:r>
        <w:rPr>
          <w:rFonts w:hint="eastAsia"/>
        </w:rPr>
        <w:drawing>
          <wp:inline distT="0" distB="0" distL="0" distR="0">
            <wp:extent cx="1485900" cy="317500"/>
            <wp:effectExtent l="0" t="0" r="0" b="6350"/>
            <wp:docPr id="2026878652" name="图片 3"/>
            <wp:cNvGraphicFramePr/>
            <a:graphic xmlns:a="http://schemas.openxmlformats.org/drawingml/2006/main">
              <a:graphicData uri="http://schemas.openxmlformats.org/drawingml/2006/picture">
                <pic:pic xmlns:pic="http://schemas.openxmlformats.org/drawingml/2006/picture">
                  <pic:nvPicPr>
                    <pic:cNvPr id="2026878652"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34"/>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AF08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1DFD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7C3E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67465">
    <w:pPr>
      <w:pStyle w:val="57"/>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74E4B">
    <w:pPr>
      <w:pStyle w:val="56"/>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A779E">
    <w:pPr>
      <w:pStyle w:val="57"/>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22DBD">
    <w:pPr>
      <w:pStyle w:val="56"/>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C740B">
    <w:pPr>
      <w:pStyle w:val="57"/>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3E66C">
    <w:pPr>
      <w:pStyle w:val="56"/>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362D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4F57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46A7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E258E">
    <w:pPr>
      <w:pStyle w:val="66"/>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DEE74">
    <w:pPr>
      <w:pStyle w:val="67"/>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FACC9">
    <w:pPr>
      <w:pStyle w:val="66"/>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B72A3">
    <w:pPr>
      <w:pStyle w:val="67"/>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 32/T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DADA7">
    <w:pPr>
      <w:pStyle w:val="66"/>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8417C">
    <w:pPr>
      <w:pStyle w:val="67"/>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AE73B6"/>
    <w:multiLevelType w:val="multilevel"/>
    <w:tmpl w:val="F3AE73B6"/>
    <w:lvl w:ilvl="0" w:tentative="0">
      <w:start w:val="1"/>
      <w:numFmt w:val="lowerLetter"/>
      <w:pStyle w:val="248"/>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5"/>
      <w:suff w:val="nothing"/>
      <w:lvlText w:val="注%1："/>
      <w:lvlJc w:val="left"/>
      <w:pPr>
        <w:ind w:left="1015"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A8F7113"/>
    <w:multiLevelType w:val="multilevel"/>
    <w:tmpl w:val="2A8F7113"/>
    <w:lvl w:ilvl="0" w:tentative="0">
      <w:start w:val="1"/>
      <w:numFmt w:val="upperLetter"/>
      <w:pStyle w:val="250"/>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tentative="0">
      <w:start w:val="1"/>
      <w:numFmt w:val="none"/>
      <w:pStyle w:val="137"/>
      <w:lvlText w:val="%1——"/>
      <w:lvlJc w:val="left"/>
      <w:pPr>
        <w:tabs>
          <w:tab w:val="left" w:pos="1419"/>
        </w:tabs>
        <w:ind w:left="1419"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0B55DC2"/>
    <w:multiLevelType w:val="multilevel"/>
    <w:tmpl w:val="60B55DC2"/>
    <w:lvl w:ilvl="0" w:tentative="0">
      <w:start w:val="1"/>
      <w:numFmt w:val="upperLetter"/>
      <w:pStyle w:val="251"/>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4">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pStyle w:val="249"/>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7"/>
      <w:suff w:val="nothing"/>
      <w:lvlText w:val="表%1　"/>
      <w:lvlJc w:val="left"/>
      <w:pPr>
        <w:ind w:left="4962"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709"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993" w:firstLine="0"/>
      </w:pPr>
      <w:rPr>
        <w:rFonts w:hint="eastAsia" w:ascii="黑体" w:eastAsia="黑体"/>
        <w:b w:val="0"/>
        <w:i w:val="0"/>
        <w:sz w:val="21"/>
      </w:rPr>
    </w:lvl>
    <w:lvl w:ilvl="4" w:tentative="0">
      <w:start w:val="1"/>
      <w:numFmt w:val="decimal"/>
      <w:pStyle w:val="99"/>
      <w:suff w:val="nothing"/>
      <w:lvlText w:val="%1%2.%3.%4.%5　"/>
      <w:lvlJc w:val="left"/>
      <w:pPr>
        <w:ind w:left="709" w:firstLine="0"/>
      </w:pPr>
      <w:rPr>
        <w:rFonts w:hint="eastAsia" w:ascii="黑体" w:eastAsia="黑体"/>
        <w:b w:val="0"/>
        <w:i w:val="0"/>
        <w:sz w:val="21"/>
      </w:rPr>
    </w:lvl>
    <w:lvl w:ilvl="5" w:tentative="0">
      <w:start w:val="1"/>
      <w:numFmt w:val="decimal"/>
      <w:pStyle w:val="103"/>
      <w:suff w:val="nothing"/>
      <w:lvlText w:val="%1%2.%3.%4.%5.%6　"/>
      <w:lvlJc w:val="left"/>
      <w:pPr>
        <w:ind w:left="1276"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1"/>
  </w:num>
  <w:num w:numId="3">
    <w:abstractNumId w:val="6"/>
  </w:num>
  <w:num w:numId="4">
    <w:abstractNumId w:val="27"/>
  </w:num>
  <w:num w:numId="5">
    <w:abstractNumId w:val="21"/>
  </w:num>
  <w:num w:numId="6">
    <w:abstractNumId w:val="16"/>
  </w:num>
  <w:num w:numId="7">
    <w:abstractNumId w:val="9"/>
  </w:num>
  <w:num w:numId="8">
    <w:abstractNumId w:val="4"/>
  </w:num>
  <w:num w:numId="9">
    <w:abstractNumId w:val="10"/>
  </w:num>
  <w:num w:numId="10">
    <w:abstractNumId w:val="19"/>
  </w:num>
  <w:num w:numId="11">
    <w:abstractNumId w:val="29"/>
  </w:num>
  <w:num w:numId="12">
    <w:abstractNumId w:val="14"/>
  </w:num>
  <w:num w:numId="13">
    <w:abstractNumId w:val="15"/>
  </w:num>
  <w:num w:numId="14">
    <w:abstractNumId w:val="8"/>
  </w:num>
  <w:num w:numId="15">
    <w:abstractNumId w:val="22"/>
  </w:num>
  <w:num w:numId="16">
    <w:abstractNumId w:val="25"/>
  </w:num>
  <w:num w:numId="17">
    <w:abstractNumId w:val="20"/>
  </w:num>
  <w:num w:numId="18">
    <w:abstractNumId w:val="33"/>
  </w:num>
  <w:num w:numId="19">
    <w:abstractNumId w:val="18"/>
  </w:num>
  <w:num w:numId="20">
    <w:abstractNumId w:val="2"/>
  </w:num>
  <w:num w:numId="21">
    <w:abstractNumId w:val="13"/>
  </w:num>
  <w:num w:numId="22">
    <w:abstractNumId w:val="34"/>
  </w:num>
  <w:num w:numId="23">
    <w:abstractNumId w:val="24"/>
  </w:num>
  <w:num w:numId="24">
    <w:abstractNumId w:val="7"/>
  </w:num>
  <w:num w:numId="25">
    <w:abstractNumId w:val="30"/>
  </w:num>
  <w:num w:numId="26">
    <w:abstractNumId w:val="32"/>
  </w:num>
  <w:num w:numId="27">
    <w:abstractNumId w:val="3"/>
  </w:num>
  <w:num w:numId="28">
    <w:abstractNumId w:val="5"/>
  </w:num>
  <w:num w:numId="29">
    <w:abstractNumId w:val="17"/>
  </w:num>
  <w:num w:numId="30">
    <w:abstractNumId w:val="28"/>
  </w:num>
  <w:num w:numId="31">
    <w:abstractNumId w:val="26"/>
  </w:num>
  <w:num w:numId="32">
    <w:abstractNumId w:val="11"/>
  </w:num>
  <w:num w:numId="33">
    <w:abstractNumId w:val="0"/>
  </w:num>
  <w:num w:numId="34">
    <w:abstractNumId w:val="12"/>
  </w:num>
  <w:num w:numId="35">
    <w:abstractNumId w:val="2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vPtN3bizjpabNYaSaDXm2ZTxGMnjZadO0iSqx+tzGH6BEEHGsaIxQYb96iRGeOacT9DokJHruwLHtwUSidH/lA==" w:salt="utpC3123dHf8AnxFyt3JE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2D6"/>
    <w:rsid w:val="0000040A"/>
    <w:rsid w:val="00000556"/>
    <w:rsid w:val="00000956"/>
    <w:rsid w:val="00000A94"/>
    <w:rsid w:val="00001972"/>
    <w:rsid w:val="00001D9A"/>
    <w:rsid w:val="00002A6B"/>
    <w:rsid w:val="00007B3A"/>
    <w:rsid w:val="000107E0"/>
    <w:rsid w:val="00011FDE"/>
    <w:rsid w:val="00012FFD"/>
    <w:rsid w:val="00014162"/>
    <w:rsid w:val="00014340"/>
    <w:rsid w:val="00016A9C"/>
    <w:rsid w:val="000206D8"/>
    <w:rsid w:val="00022184"/>
    <w:rsid w:val="00022762"/>
    <w:rsid w:val="000238E0"/>
    <w:rsid w:val="000249DB"/>
    <w:rsid w:val="0002594B"/>
    <w:rsid w:val="0002595E"/>
    <w:rsid w:val="00027396"/>
    <w:rsid w:val="0002752F"/>
    <w:rsid w:val="000303C3"/>
    <w:rsid w:val="00030995"/>
    <w:rsid w:val="00030F20"/>
    <w:rsid w:val="00031684"/>
    <w:rsid w:val="00031FB8"/>
    <w:rsid w:val="00032E74"/>
    <w:rsid w:val="000331D3"/>
    <w:rsid w:val="00034149"/>
    <w:rsid w:val="000346A5"/>
    <w:rsid w:val="000359C3"/>
    <w:rsid w:val="00035A7D"/>
    <w:rsid w:val="00035FBA"/>
    <w:rsid w:val="000365ED"/>
    <w:rsid w:val="00036810"/>
    <w:rsid w:val="00037D3E"/>
    <w:rsid w:val="0004249A"/>
    <w:rsid w:val="00043282"/>
    <w:rsid w:val="00043FE1"/>
    <w:rsid w:val="000441AE"/>
    <w:rsid w:val="00044286"/>
    <w:rsid w:val="00047561"/>
    <w:rsid w:val="00047F28"/>
    <w:rsid w:val="000503AA"/>
    <w:rsid w:val="000506A1"/>
    <w:rsid w:val="000515DD"/>
    <w:rsid w:val="0005265A"/>
    <w:rsid w:val="00053727"/>
    <w:rsid w:val="000539DD"/>
    <w:rsid w:val="00053BD3"/>
    <w:rsid w:val="00053CE3"/>
    <w:rsid w:val="000556ED"/>
    <w:rsid w:val="00055FE2"/>
    <w:rsid w:val="0005616F"/>
    <w:rsid w:val="0005680A"/>
    <w:rsid w:val="00060C2E"/>
    <w:rsid w:val="00061033"/>
    <w:rsid w:val="000619E9"/>
    <w:rsid w:val="000622D4"/>
    <w:rsid w:val="00063566"/>
    <w:rsid w:val="0006357D"/>
    <w:rsid w:val="00065BAE"/>
    <w:rsid w:val="00065F6A"/>
    <w:rsid w:val="00067F1E"/>
    <w:rsid w:val="00071CC0"/>
    <w:rsid w:val="00073C8C"/>
    <w:rsid w:val="00074B5C"/>
    <w:rsid w:val="00074D4A"/>
    <w:rsid w:val="00077B64"/>
    <w:rsid w:val="00080A1C"/>
    <w:rsid w:val="00082317"/>
    <w:rsid w:val="00083D2C"/>
    <w:rsid w:val="00085582"/>
    <w:rsid w:val="00086AA1"/>
    <w:rsid w:val="00087A77"/>
    <w:rsid w:val="00090CA6"/>
    <w:rsid w:val="00092B8A"/>
    <w:rsid w:val="00092FB0"/>
    <w:rsid w:val="000934C5"/>
    <w:rsid w:val="00093D25"/>
    <w:rsid w:val="00093DAB"/>
    <w:rsid w:val="00094D73"/>
    <w:rsid w:val="000952EF"/>
    <w:rsid w:val="0009559F"/>
    <w:rsid w:val="00096D63"/>
    <w:rsid w:val="00096E2C"/>
    <w:rsid w:val="00097992"/>
    <w:rsid w:val="000A0B60"/>
    <w:rsid w:val="000A0EB8"/>
    <w:rsid w:val="000A19FC"/>
    <w:rsid w:val="000A223E"/>
    <w:rsid w:val="000A296B"/>
    <w:rsid w:val="000A5250"/>
    <w:rsid w:val="000A7311"/>
    <w:rsid w:val="000B060F"/>
    <w:rsid w:val="000B1592"/>
    <w:rsid w:val="000B1FF2"/>
    <w:rsid w:val="000B3CDA"/>
    <w:rsid w:val="000B6A0B"/>
    <w:rsid w:val="000C0F6C"/>
    <w:rsid w:val="000C11DB"/>
    <w:rsid w:val="000C1492"/>
    <w:rsid w:val="000C16AA"/>
    <w:rsid w:val="000C2FBD"/>
    <w:rsid w:val="000C33AA"/>
    <w:rsid w:val="000C4B41"/>
    <w:rsid w:val="000C57D6"/>
    <w:rsid w:val="000C6362"/>
    <w:rsid w:val="000C7666"/>
    <w:rsid w:val="000C7E5C"/>
    <w:rsid w:val="000D0A9C"/>
    <w:rsid w:val="000D0E7A"/>
    <w:rsid w:val="000D1795"/>
    <w:rsid w:val="000D329A"/>
    <w:rsid w:val="000D41FE"/>
    <w:rsid w:val="000D458F"/>
    <w:rsid w:val="000D4B9C"/>
    <w:rsid w:val="000D4EB6"/>
    <w:rsid w:val="000D5E43"/>
    <w:rsid w:val="000D753B"/>
    <w:rsid w:val="000E4C9E"/>
    <w:rsid w:val="000E65DE"/>
    <w:rsid w:val="000E6FD7"/>
    <w:rsid w:val="000F06E1"/>
    <w:rsid w:val="000F0E3C"/>
    <w:rsid w:val="000F18E9"/>
    <w:rsid w:val="000F19D5"/>
    <w:rsid w:val="000F4AEA"/>
    <w:rsid w:val="000F633F"/>
    <w:rsid w:val="000F67E9"/>
    <w:rsid w:val="00100FDF"/>
    <w:rsid w:val="00101A5E"/>
    <w:rsid w:val="00101AEF"/>
    <w:rsid w:val="00103E03"/>
    <w:rsid w:val="00104926"/>
    <w:rsid w:val="00104A1B"/>
    <w:rsid w:val="00104AE1"/>
    <w:rsid w:val="00105056"/>
    <w:rsid w:val="00105477"/>
    <w:rsid w:val="00113B1E"/>
    <w:rsid w:val="0011709C"/>
    <w:rsid w:val="0011711C"/>
    <w:rsid w:val="0012059C"/>
    <w:rsid w:val="0012065E"/>
    <w:rsid w:val="001229F4"/>
    <w:rsid w:val="00124E4F"/>
    <w:rsid w:val="001260B7"/>
    <w:rsid w:val="001265CB"/>
    <w:rsid w:val="001302B4"/>
    <w:rsid w:val="001321C6"/>
    <w:rsid w:val="001325C4"/>
    <w:rsid w:val="00133010"/>
    <w:rsid w:val="001338EE"/>
    <w:rsid w:val="00133AAE"/>
    <w:rsid w:val="00135323"/>
    <w:rsid w:val="001356C4"/>
    <w:rsid w:val="00141114"/>
    <w:rsid w:val="00142969"/>
    <w:rsid w:val="001432B7"/>
    <w:rsid w:val="0014450D"/>
    <w:rsid w:val="001446C2"/>
    <w:rsid w:val="0014565E"/>
    <w:rsid w:val="001457E7"/>
    <w:rsid w:val="00145D9D"/>
    <w:rsid w:val="00146388"/>
    <w:rsid w:val="00147D04"/>
    <w:rsid w:val="001529E5"/>
    <w:rsid w:val="00152B7D"/>
    <w:rsid w:val="00153C7E"/>
    <w:rsid w:val="00156B25"/>
    <w:rsid w:val="00156E1A"/>
    <w:rsid w:val="00157894"/>
    <w:rsid w:val="00157B55"/>
    <w:rsid w:val="00163FD1"/>
    <w:rsid w:val="001642FA"/>
    <w:rsid w:val="001649EB"/>
    <w:rsid w:val="00164BAF"/>
    <w:rsid w:val="00164FA8"/>
    <w:rsid w:val="00165065"/>
    <w:rsid w:val="00165434"/>
    <w:rsid w:val="0016580B"/>
    <w:rsid w:val="00165F49"/>
    <w:rsid w:val="00166925"/>
    <w:rsid w:val="00166B88"/>
    <w:rsid w:val="0016770A"/>
    <w:rsid w:val="00170804"/>
    <w:rsid w:val="001708E9"/>
    <w:rsid w:val="00170F2B"/>
    <w:rsid w:val="00172802"/>
    <w:rsid w:val="0017340B"/>
    <w:rsid w:val="00173FB1"/>
    <w:rsid w:val="00176DFD"/>
    <w:rsid w:val="0017703B"/>
    <w:rsid w:val="001829DD"/>
    <w:rsid w:val="001852C9"/>
    <w:rsid w:val="0018587B"/>
    <w:rsid w:val="00190087"/>
    <w:rsid w:val="0019065C"/>
    <w:rsid w:val="00190BB1"/>
    <w:rsid w:val="001913C0"/>
    <w:rsid w:val="001913C4"/>
    <w:rsid w:val="0019299C"/>
    <w:rsid w:val="0019348F"/>
    <w:rsid w:val="00193A07"/>
    <w:rsid w:val="00194C95"/>
    <w:rsid w:val="00195B69"/>
    <w:rsid w:val="00195C34"/>
    <w:rsid w:val="00196EF5"/>
    <w:rsid w:val="001A1483"/>
    <w:rsid w:val="001A1A53"/>
    <w:rsid w:val="001A234A"/>
    <w:rsid w:val="001A4C44"/>
    <w:rsid w:val="001A4CF3"/>
    <w:rsid w:val="001A57CC"/>
    <w:rsid w:val="001B06E8"/>
    <w:rsid w:val="001B1CDF"/>
    <w:rsid w:val="001B2A23"/>
    <w:rsid w:val="001B31AE"/>
    <w:rsid w:val="001B71D0"/>
    <w:rsid w:val="001B71EE"/>
    <w:rsid w:val="001C04A8"/>
    <w:rsid w:val="001C2C03"/>
    <w:rsid w:val="001C2DB5"/>
    <w:rsid w:val="001C42F7"/>
    <w:rsid w:val="001C49E5"/>
    <w:rsid w:val="001C680C"/>
    <w:rsid w:val="001C7FEA"/>
    <w:rsid w:val="001D0499"/>
    <w:rsid w:val="001D0BBE"/>
    <w:rsid w:val="001D0ED4"/>
    <w:rsid w:val="001D212F"/>
    <w:rsid w:val="001D29D7"/>
    <w:rsid w:val="001D2DE7"/>
    <w:rsid w:val="001D400B"/>
    <w:rsid w:val="001D411C"/>
    <w:rsid w:val="001D77C5"/>
    <w:rsid w:val="001D78BF"/>
    <w:rsid w:val="001E1B6A"/>
    <w:rsid w:val="001E1FCB"/>
    <w:rsid w:val="001E2484"/>
    <w:rsid w:val="001E3CC4"/>
    <w:rsid w:val="001E4882"/>
    <w:rsid w:val="001E73AB"/>
    <w:rsid w:val="001E7A68"/>
    <w:rsid w:val="001F092D"/>
    <w:rsid w:val="001F143A"/>
    <w:rsid w:val="001F1605"/>
    <w:rsid w:val="001F2508"/>
    <w:rsid w:val="001F2601"/>
    <w:rsid w:val="001F4816"/>
    <w:rsid w:val="001F4EE9"/>
    <w:rsid w:val="001F69B4"/>
    <w:rsid w:val="001F6B17"/>
    <w:rsid w:val="001F7163"/>
    <w:rsid w:val="001F77C7"/>
    <w:rsid w:val="00200183"/>
    <w:rsid w:val="00200333"/>
    <w:rsid w:val="002006DB"/>
    <w:rsid w:val="0020107D"/>
    <w:rsid w:val="0020110C"/>
    <w:rsid w:val="0020227B"/>
    <w:rsid w:val="00202AA4"/>
    <w:rsid w:val="002031F7"/>
    <w:rsid w:val="00204037"/>
    <w:rsid w:val="002040E6"/>
    <w:rsid w:val="0020527B"/>
    <w:rsid w:val="00205F2C"/>
    <w:rsid w:val="00210983"/>
    <w:rsid w:val="00210B15"/>
    <w:rsid w:val="002126E1"/>
    <w:rsid w:val="00213417"/>
    <w:rsid w:val="002142EA"/>
    <w:rsid w:val="002160E4"/>
    <w:rsid w:val="00217DF5"/>
    <w:rsid w:val="002204BB"/>
    <w:rsid w:val="00221B79"/>
    <w:rsid w:val="00221C6B"/>
    <w:rsid w:val="00223399"/>
    <w:rsid w:val="002253A1"/>
    <w:rsid w:val="00225CF8"/>
    <w:rsid w:val="00226B3D"/>
    <w:rsid w:val="0022794E"/>
    <w:rsid w:val="00230863"/>
    <w:rsid w:val="00233D64"/>
    <w:rsid w:val="0023482A"/>
    <w:rsid w:val="002357CB"/>
    <w:rsid w:val="002359CB"/>
    <w:rsid w:val="00240583"/>
    <w:rsid w:val="00243540"/>
    <w:rsid w:val="0024497B"/>
    <w:rsid w:val="0024515B"/>
    <w:rsid w:val="00246021"/>
    <w:rsid w:val="0024666E"/>
    <w:rsid w:val="00247F52"/>
    <w:rsid w:val="002506BD"/>
    <w:rsid w:val="002508C8"/>
    <w:rsid w:val="00250B25"/>
    <w:rsid w:val="00250BBE"/>
    <w:rsid w:val="002515C2"/>
    <w:rsid w:val="0025194F"/>
    <w:rsid w:val="0026148A"/>
    <w:rsid w:val="00262696"/>
    <w:rsid w:val="00263D25"/>
    <w:rsid w:val="002643C3"/>
    <w:rsid w:val="00264A0C"/>
    <w:rsid w:val="00266EEB"/>
    <w:rsid w:val="00267EF4"/>
    <w:rsid w:val="0027008A"/>
    <w:rsid w:val="00270CB8"/>
    <w:rsid w:val="00271343"/>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A29"/>
    <w:rsid w:val="002A25DC"/>
    <w:rsid w:val="002A3AAB"/>
    <w:rsid w:val="002A3EEF"/>
    <w:rsid w:val="002A4CEA"/>
    <w:rsid w:val="002A5977"/>
    <w:rsid w:val="002A5A13"/>
    <w:rsid w:val="002A757F"/>
    <w:rsid w:val="002A7CD7"/>
    <w:rsid w:val="002A7F44"/>
    <w:rsid w:val="002B0C40"/>
    <w:rsid w:val="002B1966"/>
    <w:rsid w:val="002B423E"/>
    <w:rsid w:val="002B4508"/>
    <w:rsid w:val="002B5779"/>
    <w:rsid w:val="002B64D8"/>
    <w:rsid w:val="002B7332"/>
    <w:rsid w:val="002B7F51"/>
    <w:rsid w:val="002C09E7"/>
    <w:rsid w:val="002C1E06"/>
    <w:rsid w:val="002C1E1C"/>
    <w:rsid w:val="002C3F07"/>
    <w:rsid w:val="002C5278"/>
    <w:rsid w:val="002C7EBB"/>
    <w:rsid w:val="002D06C1"/>
    <w:rsid w:val="002D21B7"/>
    <w:rsid w:val="002D42B5"/>
    <w:rsid w:val="002D4DE4"/>
    <w:rsid w:val="002D4F1A"/>
    <w:rsid w:val="002D6EC6"/>
    <w:rsid w:val="002D79AC"/>
    <w:rsid w:val="002D7C53"/>
    <w:rsid w:val="002E039D"/>
    <w:rsid w:val="002E149C"/>
    <w:rsid w:val="002E4103"/>
    <w:rsid w:val="002E446B"/>
    <w:rsid w:val="002E4D5A"/>
    <w:rsid w:val="002E5C65"/>
    <w:rsid w:val="002E6326"/>
    <w:rsid w:val="002F30E0"/>
    <w:rsid w:val="002F35E4"/>
    <w:rsid w:val="002F3730"/>
    <w:rsid w:val="002F38E1"/>
    <w:rsid w:val="002F61B2"/>
    <w:rsid w:val="002F7AF6"/>
    <w:rsid w:val="00300468"/>
    <w:rsid w:val="00300B4B"/>
    <w:rsid w:val="00300E63"/>
    <w:rsid w:val="00302941"/>
    <w:rsid w:val="00302F5F"/>
    <w:rsid w:val="0030441D"/>
    <w:rsid w:val="00306063"/>
    <w:rsid w:val="00313B85"/>
    <w:rsid w:val="00317988"/>
    <w:rsid w:val="00320D01"/>
    <w:rsid w:val="003214DF"/>
    <w:rsid w:val="003221B4"/>
    <w:rsid w:val="0032258D"/>
    <w:rsid w:val="00322E62"/>
    <w:rsid w:val="00324D13"/>
    <w:rsid w:val="00324D2A"/>
    <w:rsid w:val="00324EDD"/>
    <w:rsid w:val="00326C8B"/>
    <w:rsid w:val="00331F50"/>
    <w:rsid w:val="003331E4"/>
    <w:rsid w:val="00333BEB"/>
    <w:rsid w:val="00336C64"/>
    <w:rsid w:val="00337162"/>
    <w:rsid w:val="0034194F"/>
    <w:rsid w:val="00344605"/>
    <w:rsid w:val="00345D33"/>
    <w:rsid w:val="003474AA"/>
    <w:rsid w:val="00350D1D"/>
    <w:rsid w:val="00351AF8"/>
    <w:rsid w:val="00352C83"/>
    <w:rsid w:val="00356F28"/>
    <w:rsid w:val="00360BE6"/>
    <w:rsid w:val="003611AB"/>
    <w:rsid w:val="003615D2"/>
    <w:rsid w:val="00363A62"/>
    <w:rsid w:val="0036429C"/>
    <w:rsid w:val="00364A53"/>
    <w:rsid w:val="003654CB"/>
    <w:rsid w:val="00365AA9"/>
    <w:rsid w:val="00365F86"/>
    <w:rsid w:val="00365F87"/>
    <w:rsid w:val="00366E89"/>
    <w:rsid w:val="003705F4"/>
    <w:rsid w:val="00370D58"/>
    <w:rsid w:val="00371316"/>
    <w:rsid w:val="00375F0B"/>
    <w:rsid w:val="00376713"/>
    <w:rsid w:val="00381815"/>
    <w:rsid w:val="003819AF"/>
    <w:rsid w:val="003820E9"/>
    <w:rsid w:val="00382DE7"/>
    <w:rsid w:val="00384369"/>
    <w:rsid w:val="00384FFC"/>
    <w:rsid w:val="00386E2C"/>
    <w:rsid w:val="003872FC"/>
    <w:rsid w:val="00387ADC"/>
    <w:rsid w:val="00390020"/>
    <w:rsid w:val="003903D6"/>
    <w:rsid w:val="00390EE6"/>
    <w:rsid w:val="0039118F"/>
    <w:rsid w:val="00392AD7"/>
    <w:rsid w:val="0039337A"/>
    <w:rsid w:val="003938D9"/>
    <w:rsid w:val="00393C96"/>
    <w:rsid w:val="00393D1D"/>
    <w:rsid w:val="00394376"/>
    <w:rsid w:val="003943FF"/>
    <w:rsid w:val="00395700"/>
    <w:rsid w:val="003974EB"/>
    <w:rsid w:val="00397CC5"/>
    <w:rsid w:val="003A1582"/>
    <w:rsid w:val="003A4077"/>
    <w:rsid w:val="003A5592"/>
    <w:rsid w:val="003A6FEB"/>
    <w:rsid w:val="003B09AD"/>
    <w:rsid w:val="003B1B55"/>
    <w:rsid w:val="003B1F18"/>
    <w:rsid w:val="003B322F"/>
    <w:rsid w:val="003B5BF0"/>
    <w:rsid w:val="003B60BF"/>
    <w:rsid w:val="003B6BE3"/>
    <w:rsid w:val="003C010C"/>
    <w:rsid w:val="003C0A6C"/>
    <w:rsid w:val="003C0AD1"/>
    <w:rsid w:val="003C14F8"/>
    <w:rsid w:val="003C5A43"/>
    <w:rsid w:val="003D0519"/>
    <w:rsid w:val="003D0FF6"/>
    <w:rsid w:val="003D262C"/>
    <w:rsid w:val="003D3933"/>
    <w:rsid w:val="003D5890"/>
    <w:rsid w:val="003D6D61"/>
    <w:rsid w:val="003D79C6"/>
    <w:rsid w:val="003E091D"/>
    <w:rsid w:val="003E12ED"/>
    <w:rsid w:val="003E1C53"/>
    <w:rsid w:val="003E1CBA"/>
    <w:rsid w:val="003E2A69"/>
    <w:rsid w:val="003E2D49"/>
    <w:rsid w:val="003E2FD4"/>
    <w:rsid w:val="003E49F6"/>
    <w:rsid w:val="003E660F"/>
    <w:rsid w:val="003E74A4"/>
    <w:rsid w:val="003E7DAA"/>
    <w:rsid w:val="003F0841"/>
    <w:rsid w:val="003F23D3"/>
    <w:rsid w:val="003F3F08"/>
    <w:rsid w:val="003F402C"/>
    <w:rsid w:val="003F4763"/>
    <w:rsid w:val="003F49F1"/>
    <w:rsid w:val="003F6272"/>
    <w:rsid w:val="00400E72"/>
    <w:rsid w:val="00401400"/>
    <w:rsid w:val="00401541"/>
    <w:rsid w:val="00401665"/>
    <w:rsid w:val="00404869"/>
    <w:rsid w:val="00405884"/>
    <w:rsid w:val="00407744"/>
    <w:rsid w:val="00407D39"/>
    <w:rsid w:val="0041109F"/>
    <w:rsid w:val="00413822"/>
    <w:rsid w:val="0041477A"/>
    <w:rsid w:val="004167A3"/>
    <w:rsid w:val="0042132C"/>
    <w:rsid w:val="00424E17"/>
    <w:rsid w:val="0043107A"/>
    <w:rsid w:val="00432DAA"/>
    <w:rsid w:val="00434305"/>
    <w:rsid w:val="00435DF7"/>
    <w:rsid w:val="0044083F"/>
    <w:rsid w:val="00441AE7"/>
    <w:rsid w:val="00445574"/>
    <w:rsid w:val="0044588C"/>
    <w:rsid w:val="004467FB"/>
    <w:rsid w:val="004468FE"/>
    <w:rsid w:val="0044691F"/>
    <w:rsid w:val="00447016"/>
    <w:rsid w:val="00450B37"/>
    <w:rsid w:val="004516C0"/>
    <w:rsid w:val="00452D6B"/>
    <w:rsid w:val="00454484"/>
    <w:rsid w:val="0045517B"/>
    <w:rsid w:val="00456044"/>
    <w:rsid w:val="004625EF"/>
    <w:rsid w:val="00463B77"/>
    <w:rsid w:val="00463C7B"/>
    <w:rsid w:val="004644A6"/>
    <w:rsid w:val="004659BD"/>
    <w:rsid w:val="00470775"/>
    <w:rsid w:val="00472BF8"/>
    <w:rsid w:val="004746B1"/>
    <w:rsid w:val="00474F85"/>
    <w:rsid w:val="00475727"/>
    <w:rsid w:val="0047583F"/>
    <w:rsid w:val="00475DE8"/>
    <w:rsid w:val="00476296"/>
    <w:rsid w:val="0048132F"/>
    <w:rsid w:val="00481566"/>
    <w:rsid w:val="00481C44"/>
    <w:rsid w:val="00484936"/>
    <w:rsid w:val="00485C89"/>
    <w:rsid w:val="004864C7"/>
    <w:rsid w:val="00486BE3"/>
    <w:rsid w:val="00486FAF"/>
    <w:rsid w:val="004905E4"/>
    <w:rsid w:val="004908F5"/>
    <w:rsid w:val="00490A89"/>
    <w:rsid w:val="00490AB4"/>
    <w:rsid w:val="00492F02"/>
    <w:rsid w:val="004939AE"/>
    <w:rsid w:val="00494D83"/>
    <w:rsid w:val="004A12DF"/>
    <w:rsid w:val="004A17E6"/>
    <w:rsid w:val="004A1BA8"/>
    <w:rsid w:val="004A292F"/>
    <w:rsid w:val="004A4789"/>
    <w:rsid w:val="004A4B57"/>
    <w:rsid w:val="004A63FA"/>
    <w:rsid w:val="004B0272"/>
    <w:rsid w:val="004B14BE"/>
    <w:rsid w:val="004B1857"/>
    <w:rsid w:val="004B2701"/>
    <w:rsid w:val="004B2E1B"/>
    <w:rsid w:val="004B365E"/>
    <w:rsid w:val="004B36EE"/>
    <w:rsid w:val="004B3AA8"/>
    <w:rsid w:val="004B3E93"/>
    <w:rsid w:val="004B49A6"/>
    <w:rsid w:val="004B5040"/>
    <w:rsid w:val="004C0E8D"/>
    <w:rsid w:val="004C1FBC"/>
    <w:rsid w:val="004C3E2C"/>
    <w:rsid w:val="004C3F1D"/>
    <w:rsid w:val="004C458D"/>
    <w:rsid w:val="004C4FF5"/>
    <w:rsid w:val="004C7556"/>
    <w:rsid w:val="004C78F4"/>
    <w:rsid w:val="004C7E8B"/>
    <w:rsid w:val="004C7E9D"/>
    <w:rsid w:val="004C7F67"/>
    <w:rsid w:val="004D076D"/>
    <w:rsid w:val="004D0EF1"/>
    <w:rsid w:val="004D2253"/>
    <w:rsid w:val="004D4406"/>
    <w:rsid w:val="004D4CED"/>
    <w:rsid w:val="004D7C42"/>
    <w:rsid w:val="004D7E1D"/>
    <w:rsid w:val="004E0465"/>
    <w:rsid w:val="004E0C80"/>
    <w:rsid w:val="004E127B"/>
    <w:rsid w:val="004E1C0A"/>
    <w:rsid w:val="004E2996"/>
    <w:rsid w:val="004E2B06"/>
    <w:rsid w:val="004E30C5"/>
    <w:rsid w:val="004E4AA5"/>
    <w:rsid w:val="004E4AEE"/>
    <w:rsid w:val="004E59E3"/>
    <w:rsid w:val="004E67C0"/>
    <w:rsid w:val="004E795E"/>
    <w:rsid w:val="004F1A31"/>
    <w:rsid w:val="004F391A"/>
    <w:rsid w:val="004F3CFB"/>
    <w:rsid w:val="004F6456"/>
    <w:rsid w:val="004F696E"/>
    <w:rsid w:val="004F6C71"/>
    <w:rsid w:val="00500E50"/>
    <w:rsid w:val="00501139"/>
    <w:rsid w:val="00502FD8"/>
    <w:rsid w:val="0050363E"/>
    <w:rsid w:val="005039BC"/>
    <w:rsid w:val="005043BB"/>
    <w:rsid w:val="00504A3D"/>
    <w:rsid w:val="00505767"/>
    <w:rsid w:val="00506C39"/>
    <w:rsid w:val="00506C45"/>
    <w:rsid w:val="005073F0"/>
    <w:rsid w:val="0051028B"/>
    <w:rsid w:val="00510A7B"/>
    <w:rsid w:val="005115FD"/>
    <w:rsid w:val="00512C8A"/>
    <w:rsid w:val="00512F6E"/>
    <w:rsid w:val="00513038"/>
    <w:rsid w:val="00514174"/>
    <w:rsid w:val="00514458"/>
    <w:rsid w:val="00516088"/>
    <w:rsid w:val="00516B0B"/>
    <w:rsid w:val="005220EC"/>
    <w:rsid w:val="00522A1E"/>
    <w:rsid w:val="005232C5"/>
    <w:rsid w:val="00523F95"/>
    <w:rsid w:val="00524D65"/>
    <w:rsid w:val="00525B16"/>
    <w:rsid w:val="005315DD"/>
    <w:rsid w:val="00533D04"/>
    <w:rsid w:val="00534804"/>
    <w:rsid w:val="00534BDF"/>
    <w:rsid w:val="0053501F"/>
    <w:rsid w:val="005354EA"/>
    <w:rsid w:val="0053585F"/>
    <w:rsid w:val="00535EC4"/>
    <w:rsid w:val="00535ED9"/>
    <w:rsid w:val="0053692B"/>
    <w:rsid w:val="005414FB"/>
    <w:rsid w:val="00541853"/>
    <w:rsid w:val="00543BDA"/>
    <w:rsid w:val="00544116"/>
    <w:rsid w:val="005441CC"/>
    <w:rsid w:val="00545F4E"/>
    <w:rsid w:val="005472C4"/>
    <w:rsid w:val="0054731C"/>
    <w:rsid w:val="005479DA"/>
    <w:rsid w:val="00547BCC"/>
    <w:rsid w:val="0055013B"/>
    <w:rsid w:val="00551AE3"/>
    <w:rsid w:val="00551F6F"/>
    <w:rsid w:val="005534EC"/>
    <w:rsid w:val="00554CAF"/>
    <w:rsid w:val="00555044"/>
    <w:rsid w:val="00555192"/>
    <w:rsid w:val="00561475"/>
    <w:rsid w:val="0056487B"/>
    <w:rsid w:val="00564FB9"/>
    <w:rsid w:val="005737EA"/>
    <w:rsid w:val="00573D9E"/>
    <w:rsid w:val="005774FE"/>
    <w:rsid w:val="0058004C"/>
    <w:rsid w:val="005801E3"/>
    <w:rsid w:val="0058159D"/>
    <w:rsid w:val="00581802"/>
    <w:rsid w:val="005836A8"/>
    <w:rsid w:val="0058409C"/>
    <w:rsid w:val="00584262"/>
    <w:rsid w:val="00586630"/>
    <w:rsid w:val="00587ADD"/>
    <w:rsid w:val="00591E27"/>
    <w:rsid w:val="005923BE"/>
    <w:rsid w:val="005937F3"/>
    <w:rsid w:val="00596160"/>
    <w:rsid w:val="005966E2"/>
    <w:rsid w:val="00597007"/>
    <w:rsid w:val="005A0966"/>
    <w:rsid w:val="005A11B7"/>
    <w:rsid w:val="005A260B"/>
    <w:rsid w:val="005A2EA7"/>
    <w:rsid w:val="005A4A1B"/>
    <w:rsid w:val="005A7830"/>
    <w:rsid w:val="005A7FCE"/>
    <w:rsid w:val="005B0F3F"/>
    <w:rsid w:val="005B43AB"/>
    <w:rsid w:val="005B4903"/>
    <w:rsid w:val="005B4F81"/>
    <w:rsid w:val="005B51CE"/>
    <w:rsid w:val="005B5503"/>
    <w:rsid w:val="005B5885"/>
    <w:rsid w:val="005B5CD7"/>
    <w:rsid w:val="005B6CF6"/>
    <w:rsid w:val="005B7422"/>
    <w:rsid w:val="005C29B8"/>
    <w:rsid w:val="005C5173"/>
    <w:rsid w:val="005C5F21"/>
    <w:rsid w:val="005C7156"/>
    <w:rsid w:val="005C7454"/>
    <w:rsid w:val="005D0C75"/>
    <w:rsid w:val="005D2859"/>
    <w:rsid w:val="005D4171"/>
    <w:rsid w:val="005D46CD"/>
    <w:rsid w:val="005D57C1"/>
    <w:rsid w:val="005D6A95"/>
    <w:rsid w:val="005D6B2C"/>
    <w:rsid w:val="005D6D9C"/>
    <w:rsid w:val="005E0A9B"/>
    <w:rsid w:val="005E2335"/>
    <w:rsid w:val="005E34CA"/>
    <w:rsid w:val="005E3C18"/>
    <w:rsid w:val="005E6812"/>
    <w:rsid w:val="005E7881"/>
    <w:rsid w:val="005E78E0"/>
    <w:rsid w:val="005F0D9C"/>
    <w:rsid w:val="005F1BFD"/>
    <w:rsid w:val="005F284E"/>
    <w:rsid w:val="005F3B22"/>
    <w:rsid w:val="005F4712"/>
    <w:rsid w:val="006015CE"/>
    <w:rsid w:val="00602ECB"/>
    <w:rsid w:val="00603950"/>
    <w:rsid w:val="00604784"/>
    <w:rsid w:val="00606419"/>
    <w:rsid w:val="00607AC1"/>
    <w:rsid w:val="00607D29"/>
    <w:rsid w:val="006101CA"/>
    <w:rsid w:val="00612952"/>
    <w:rsid w:val="00614CC1"/>
    <w:rsid w:val="00615A9D"/>
    <w:rsid w:val="00615B54"/>
    <w:rsid w:val="00617387"/>
    <w:rsid w:val="006205D6"/>
    <w:rsid w:val="00623361"/>
    <w:rsid w:val="00624457"/>
    <w:rsid w:val="006252D8"/>
    <w:rsid w:val="006259BC"/>
    <w:rsid w:val="00626075"/>
    <w:rsid w:val="0062636B"/>
    <w:rsid w:val="00630334"/>
    <w:rsid w:val="00632182"/>
    <w:rsid w:val="00632AE0"/>
    <w:rsid w:val="00633C17"/>
    <w:rsid w:val="00634D9E"/>
    <w:rsid w:val="006365BE"/>
    <w:rsid w:val="00636E3E"/>
    <w:rsid w:val="006379F7"/>
    <w:rsid w:val="00637B96"/>
    <w:rsid w:val="00637E4D"/>
    <w:rsid w:val="00640620"/>
    <w:rsid w:val="00640EF7"/>
    <w:rsid w:val="00641A1F"/>
    <w:rsid w:val="00645904"/>
    <w:rsid w:val="00651ACB"/>
    <w:rsid w:val="00651C47"/>
    <w:rsid w:val="00652AB2"/>
    <w:rsid w:val="00653FED"/>
    <w:rsid w:val="00654EC0"/>
    <w:rsid w:val="0065525B"/>
    <w:rsid w:val="00655D4F"/>
    <w:rsid w:val="00656D29"/>
    <w:rsid w:val="00661072"/>
    <w:rsid w:val="00661393"/>
    <w:rsid w:val="00662533"/>
    <w:rsid w:val="006633D0"/>
    <w:rsid w:val="006640E5"/>
    <w:rsid w:val="006646F1"/>
    <w:rsid w:val="00664929"/>
    <w:rsid w:val="00664F62"/>
    <w:rsid w:val="006655E1"/>
    <w:rsid w:val="00672060"/>
    <w:rsid w:val="00672BFD"/>
    <w:rsid w:val="006770F4"/>
    <w:rsid w:val="00677A84"/>
    <w:rsid w:val="0068026D"/>
    <w:rsid w:val="00680A27"/>
    <w:rsid w:val="006816A4"/>
    <w:rsid w:val="006819B8"/>
    <w:rsid w:val="00682407"/>
    <w:rsid w:val="0068332D"/>
    <w:rsid w:val="006840A6"/>
    <w:rsid w:val="0068470E"/>
    <w:rsid w:val="006850CD"/>
    <w:rsid w:val="00685AAB"/>
    <w:rsid w:val="00693D88"/>
    <w:rsid w:val="00694593"/>
    <w:rsid w:val="00695D22"/>
    <w:rsid w:val="006A07AA"/>
    <w:rsid w:val="006A16BE"/>
    <w:rsid w:val="006A1D48"/>
    <w:rsid w:val="006A25E5"/>
    <w:rsid w:val="006A2B46"/>
    <w:rsid w:val="006A336D"/>
    <w:rsid w:val="006A37B9"/>
    <w:rsid w:val="006A5542"/>
    <w:rsid w:val="006B2672"/>
    <w:rsid w:val="006B305A"/>
    <w:rsid w:val="006B54BF"/>
    <w:rsid w:val="006B5DE6"/>
    <w:rsid w:val="006B5F44"/>
    <w:rsid w:val="006B5F90"/>
    <w:rsid w:val="006B62E4"/>
    <w:rsid w:val="006B7144"/>
    <w:rsid w:val="006C1BBA"/>
    <w:rsid w:val="006C2079"/>
    <w:rsid w:val="006C5A62"/>
    <w:rsid w:val="006C5D68"/>
    <w:rsid w:val="006C6976"/>
    <w:rsid w:val="006C6DD0"/>
    <w:rsid w:val="006D04EA"/>
    <w:rsid w:val="006D0AB7"/>
    <w:rsid w:val="006D16C4"/>
    <w:rsid w:val="006D3E96"/>
    <w:rsid w:val="006D4515"/>
    <w:rsid w:val="006D4BB1"/>
    <w:rsid w:val="006D54A0"/>
    <w:rsid w:val="006D5C78"/>
    <w:rsid w:val="006D6593"/>
    <w:rsid w:val="006D6B61"/>
    <w:rsid w:val="006E0915"/>
    <w:rsid w:val="006E23EA"/>
    <w:rsid w:val="006E3197"/>
    <w:rsid w:val="006E3354"/>
    <w:rsid w:val="006E4298"/>
    <w:rsid w:val="006F022D"/>
    <w:rsid w:val="006F03A8"/>
    <w:rsid w:val="006F0AD6"/>
    <w:rsid w:val="006F2ACA"/>
    <w:rsid w:val="006F2ADC"/>
    <w:rsid w:val="006F2BFE"/>
    <w:rsid w:val="006F31E9"/>
    <w:rsid w:val="006F6284"/>
    <w:rsid w:val="007002C5"/>
    <w:rsid w:val="00704387"/>
    <w:rsid w:val="00707669"/>
    <w:rsid w:val="007111B0"/>
    <w:rsid w:val="00711CBA"/>
    <w:rsid w:val="00711FB5"/>
    <w:rsid w:val="00712A01"/>
    <w:rsid w:val="00712BAC"/>
    <w:rsid w:val="00714F58"/>
    <w:rsid w:val="00716173"/>
    <w:rsid w:val="007166B4"/>
    <w:rsid w:val="00717AB4"/>
    <w:rsid w:val="00720912"/>
    <w:rsid w:val="007220CC"/>
    <w:rsid w:val="007229D7"/>
    <w:rsid w:val="00722FBF"/>
    <w:rsid w:val="00722FC2"/>
    <w:rsid w:val="00724879"/>
    <w:rsid w:val="00724E1B"/>
    <w:rsid w:val="00725949"/>
    <w:rsid w:val="00725F1E"/>
    <w:rsid w:val="00726A5A"/>
    <w:rsid w:val="00727FA2"/>
    <w:rsid w:val="00730A6D"/>
    <w:rsid w:val="00732078"/>
    <w:rsid w:val="007321D9"/>
    <w:rsid w:val="007322D9"/>
    <w:rsid w:val="0073266B"/>
    <w:rsid w:val="00732BC0"/>
    <w:rsid w:val="0073720F"/>
    <w:rsid w:val="007375CE"/>
    <w:rsid w:val="00737796"/>
    <w:rsid w:val="0074165C"/>
    <w:rsid w:val="00741E47"/>
    <w:rsid w:val="00742C35"/>
    <w:rsid w:val="007432CA"/>
    <w:rsid w:val="007439EB"/>
    <w:rsid w:val="00743CB4"/>
    <w:rsid w:val="00743F0A"/>
    <w:rsid w:val="007444E8"/>
    <w:rsid w:val="007447EC"/>
    <w:rsid w:val="00744CB9"/>
    <w:rsid w:val="0074548E"/>
    <w:rsid w:val="00745773"/>
    <w:rsid w:val="0074579F"/>
    <w:rsid w:val="00746800"/>
    <w:rsid w:val="007501A8"/>
    <w:rsid w:val="00750D61"/>
    <w:rsid w:val="00750EE1"/>
    <w:rsid w:val="007519DA"/>
    <w:rsid w:val="00752B4D"/>
    <w:rsid w:val="00755402"/>
    <w:rsid w:val="0075674D"/>
    <w:rsid w:val="00756B26"/>
    <w:rsid w:val="00756EDF"/>
    <w:rsid w:val="007600E3"/>
    <w:rsid w:val="00761ED7"/>
    <w:rsid w:val="00764826"/>
    <w:rsid w:val="00765C43"/>
    <w:rsid w:val="00765EFB"/>
    <w:rsid w:val="007660B8"/>
    <w:rsid w:val="007671CA"/>
    <w:rsid w:val="00767C61"/>
    <w:rsid w:val="0077008A"/>
    <w:rsid w:val="00773C1F"/>
    <w:rsid w:val="00774DA4"/>
    <w:rsid w:val="00776599"/>
    <w:rsid w:val="0078114B"/>
    <w:rsid w:val="00781DD2"/>
    <w:rsid w:val="00783ECF"/>
    <w:rsid w:val="0078413A"/>
    <w:rsid w:val="00787555"/>
    <w:rsid w:val="00793BBF"/>
    <w:rsid w:val="007959E8"/>
    <w:rsid w:val="00795E9C"/>
    <w:rsid w:val="007A0521"/>
    <w:rsid w:val="007A2E12"/>
    <w:rsid w:val="007A3475"/>
    <w:rsid w:val="007A41C8"/>
    <w:rsid w:val="007A54CE"/>
    <w:rsid w:val="007A6FD9"/>
    <w:rsid w:val="007A73A7"/>
    <w:rsid w:val="007A7FFA"/>
    <w:rsid w:val="007B04EB"/>
    <w:rsid w:val="007B0D4F"/>
    <w:rsid w:val="007B0EEC"/>
    <w:rsid w:val="007B12AA"/>
    <w:rsid w:val="007B1DF8"/>
    <w:rsid w:val="007B2FB0"/>
    <w:rsid w:val="007B5A3D"/>
    <w:rsid w:val="007B5B95"/>
    <w:rsid w:val="007B68EA"/>
    <w:rsid w:val="007B6A35"/>
    <w:rsid w:val="007B733D"/>
    <w:rsid w:val="007B7453"/>
    <w:rsid w:val="007B7B66"/>
    <w:rsid w:val="007C1E8B"/>
    <w:rsid w:val="007C2D89"/>
    <w:rsid w:val="007C4593"/>
    <w:rsid w:val="007C4A22"/>
    <w:rsid w:val="007C5309"/>
    <w:rsid w:val="007C6069"/>
    <w:rsid w:val="007C76CB"/>
    <w:rsid w:val="007D06C4"/>
    <w:rsid w:val="007D1352"/>
    <w:rsid w:val="007D2508"/>
    <w:rsid w:val="007D346A"/>
    <w:rsid w:val="007D6518"/>
    <w:rsid w:val="007D76BD"/>
    <w:rsid w:val="007E0BF1"/>
    <w:rsid w:val="007E17DC"/>
    <w:rsid w:val="007E4BC7"/>
    <w:rsid w:val="007F0E5D"/>
    <w:rsid w:val="007F0ED8"/>
    <w:rsid w:val="007F0F63"/>
    <w:rsid w:val="007F7564"/>
    <w:rsid w:val="007F75CE"/>
    <w:rsid w:val="008013A4"/>
    <w:rsid w:val="008027CE"/>
    <w:rsid w:val="00802F42"/>
    <w:rsid w:val="008030BA"/>
    <w:rsid w:val="00803C7E"/>
    <w:rsid w:val="00804383"/>
    <w:rsid w:val="00804BB7"/>
    <w:rsid w:val="00804D41"/>
    <w:rsid w:val="008076EA"/>
    <w:rsid w:val="00810257"/>
    <w:rsid w:val="008104F5"/>
    <w:rsid w:val="00810864"/>
    <w:rsid w:val="00811072"/>
    <w:rsid w:val="00811369"/>
    <w:rsid w:val="00812BA5"/>
    <w:rsid w:val="00813407"/>
    <w:rsid w:val="00813478"/>
    <w:rsid w:val="00815419"/>
    <w:rsid w:val="008163C8"/>
    <w:rsid w:val="008164A1"/>
    <w:rsid w:val="008171AF"/>
    <w:rsid w:val="00817325"/>
    <w:rsid w:val="00817812"/>
    <w:rsid w:val="00820296"/>
    <w:rsid w:val="008209E6"/>
    <w:rsid w:val="00823303"/>
    <w:rsid w:val="008233B2"/>
    <w:rsid w:val="00823A9F"/>
    <w:rsid w:val="00823C85"/>
    <w:rsid w:val="00825138"/>
    <w:rsid w:val="008269DD"/>
    <w:rsid w:val="00830621"/>
    <w:rsid w:val="00832DDB"/>
    <w:rsid w:val="0083348C"/>
    <w:rsid w:val="00833628"/>
    <w:rsid w:val="008373D3"/>
    <w:rsid w:val="00840039"/>
    <w:rsid w:val="00840617"/>
    <w:rsid w:val="00840F84"/>
    <w:rsid w:val="008427B6"/>
    <w:rsid w:val="008427CB"/>
    <w:rsid w:val="00842A47"/>
    <w:rsid w:val="00843C13"/>
    <w:rsid w:val="008454F8"/>
    <w:rsid w:val="00845D25"/>
    <w:rsid w:val="00851676"/>
    <w:rsid w:val="0085173A"/>
    <w:rsid w:val="00856316"/>
    <w:rsid w:val="00857C3C"/>
    <w:rsid w:val="008603CE"/>
    <w:rsid w:val="008620FC"/>
    <w:rsid w:val="008627A5"/>
    <w:rsid w:val="00863E05"/>
    <w:rsid w:val="00865ACA"/>
    <w:rsid w:val="00865D28"/>
    <w:rsid w:val="00865F85"/>
    <w:rsid w:val="00866294"/>
    <w:rsid w:val="00867C10"/>
    <w:rsid w:val="00870439"/>
    <w:rsid w:val="00870DA1"/>
    <w:rsid w:val="00873BBA"/>
    <w:rsid w:val="00883F93"/>
    <w:rsid w:val="00884DB3"/>
    <w:rsid w:val="008852D5"/>
    <w:rsid w:val="00885A9D"/>
    <w:rsid w:val="008864F6"/>
    <w:rsid w:val="0089049D"/>
    <w:rsid w:val="008928C9"/>
    <w:rsid w:val="008930CB"/>
    <w:rsid w:val="008938DC"/>
    <w:rsid w:val="00893FD1"/>
    <w:rsid w:val="00894836"/>
    <w:rsid w:val="00895172"/>
    <w:rsid w:val="00895680"/>
    <w:rsid w:val="00895CE1"/>
    <w:rsid w:val="0089643C"/>
    <w:rsid w:val="00896DFF"/>
    <w:rsid w:val="00897218"/>
    <w:rsid w:val="0089762C"/>
    <w:rsid w:val="008A1893"/>
    <w:rsid w:val="008A21EB"/>
    <w:rsid w:val="008A3215"/>
    <w:rsid w:val="008A40F5"/>
    <w:rsid w:val="008A4DB9"/>
    <w:rsid w:val="008A57E6"/>
    <w:rsid w:val="008A5954"/>
    <w:rsid w:val="008A6F81"/>
    <w:rsid w:val="008A769A"/>
    <w:rsid w:val="008A7E47"/>
    <w:rsid w:val="008B0C9C"/>
    <w:rsid w:val="008B166D"/>
    <w:rsid w:val="008B17F4"/>
    <w:rsid w:val="008B3615"/>
    <w:rsid w:val="008B4AC4"/>
    <w:rsid w:val="008B50C8"/>
    <w:rsid w:val="008B5281"/>
    <w:rsid w:val="008B6345"/>
    <w:rsid w:val="008B7E05"/>
    <w:rsid w:val="008C0246"/>
    <w:rsid w:val="008C0A9C"/>
    <w:rsid w:val="008C0BAB"/>
    <w:rsid w:val="008C1797"/>
    <w:rsid w:val="008C219C"/>
    <w:rsid w:val="008C3136"/>
    <w:rsid w:val="008C475E"/>
    <w:rsid w:val="008C47BF"/>
    <w:rsid w:val="008C53DE"/>
    <w:rsid w:val="008C619A"/>
    <w:rsid w:val="008D0CE8"/>
    <w:rsid w:val="008D2D1D"/>
    <w:rsid w:val="008D2FB6"/>
    <w:rsid w:val="008D453D"/>
    <w:rsid w:val="008D489E"/>
    <w:rsid w:val="008D53AD"/>
    <w:rsid w:val="008D562B"/>
    <w:rsid w:val="008D5733"/>
    <w:rsid w:val="008D622B"/>
    <w:rsid w:val="008D666C"/>
    <w:rsid w:val="008D7B54"/>
    <w:rsid w:val="008D7D27"/>
    <w:rsid w:val="008E0C9D"/>
    <w:rsid w:val="008E1648"/>
    <w:rsid w:val="008E1B3E"/>
    <w:rsid w:val="008E217D"/>
    <w:rsid w:val="008E2319"/>
    <w:rsid w:val="008E43A4"/>
    <w:rsid w:val="008E4707"/>
    <w:rsid w:val="008E4BB6"/>
    <w:rsid w:val="008E5518"/>
    <w:rsid w:val="008E6A84"/>
    <w:rsid w:val="008F0CDC"/>
    <w:rsid w:val="008F0FE3"/>
    <w:rsid w:val="008F17A3"/>
    <w:rsid w:val="008F1ED3"/>
    <w:rsid w:val="008F23A5"/>
    <w:rsid w:val="008F2D1D"/>
    <w:rsid w:val="008F4C29"/>
    <w:rsid w:val="008F70BD"/>
    <w:rsid w:val="008F788F"/>
    <w:rsid w:val="008F7B48"/>
    <w:rsid w:val="008F7EA2"/>
    <w:rsid w:val="00901C6A"/>
    <w:rsid w:val="00902722"/>
    <w:rsid w:val="009027BC"/>
    <w:rsid w:val="0090493F"/>
    <w:rsid w:val="009062E6"/>
    <w:rsid w:val="009112D6"/>
    <w:rsid w:val="00911BE5"/>
    <w:rsid w:val="00911D45"/>
    <w:rsid w:val="00913CA9"/>
    <w:rsid w:val="009145AE"/>
    <w:rsid w:val="009146CE"/>
    <w:rsid w:val="00914CA7"/>
    <w:rsid w:val="00915C3E"/>
    <w:rsid w:val="009161A8"/>
    <w:rsid w:val="00917538"/>
    <w:rsid w:val="00920132"/>
    <w:rsid w:val="009224D6"/>
    <w:rsid w:val="009245F5"/>
    <w:rsid w:val="009249EC"/>
    <w:rsid w:val="009273B3"/>
    <w:rsid w:val="009305B5"/>
    <w:rsid w:val="00934393"/>
    <w:rsid w:val="009358ED"/>
    <w:rsid w:val="00936C92"/>
    <w:rsid w:val="00942388"/>
    <w:rsid w:val="009429D5"/>
    <w:rsid w:val="00942BF1"/>
    <w:rsid w:val="00945180"/>
    <w:rsid w:val="00945428"/>
    <w:rsid w:val="0094607B"/>
    <w:rsid w:val="00946490"/>
    <w:rsid w:val="00947D7B"/>
    <w:rsid w:val="00953604"/>
    <w:rsid w:val="0095496B"/>
    <w:rsid w:val="009552E3"/>
    <w:rsid w:val="009610DC"/>
    <w:rsid w:val="00961490"/>
    <w:rsid w:val="0096339E"/>
    <w:rsid w:val="0096381A"/>
    <w:rsid w:val="00965E04"/>
    <w:rsid w:val="009674AD"/>
    <w:rsid w:val="00967F33"/>
    <w:rsid w:val="00970AD3"/>
    <w:rsid w:val="00970CDC"/>
    <w:rsid w:val="009740FA"/>
    <w:rsid w:val="00975571"/>
    <w:rsid w:val="00977010"/>
    <w:rsid w:val="00977D02"/>
    <w:rsid w:val="009809BB"/>
    <w:rsid w:val="00983144"/>
    <w:rsid w:val="00983510"/>
    <w:rsid w:val="0098364B"/>
    <w:rsid w:val="0098449B"/>
    <w:rsid w:val="009862EB"/>
    <w:rsid w:val="00987544"/>
    <w:rsid w:val="009910A7"/>
    <w:rsid w:val="009911AF"/>
    <w:rsid w:val="00991875"/>
    <w:rsid w:val="00991F92"/>
    <w:rsid w:val="00992985"/>
    <w:rsid w:val="00993889"/>
    <w:rsid w:val="0099551B"/>
    <w:rsid w:val="00997BF1"/>
    <w:rsid w:val="00997C81"/>
    <w:rsid w:val="009A089C"/>
    <w:rsid w:val="009A118E"/>
    <w:rsid w:val="009A21CD"/>
    <w:rsid w:val="009A278C"/>
    <w:rsid w:val="009A2BC2"/>
    <w:rsid w:val="009A42C1"/>
    <w:rsid w:val="009A5429"/>
    <w:rsid w:val="009A72AD"/>
    <w:rsid w:val="009B09E0"/>
    <w:rsid w:val="009B0BC5"/>
    <w:rsid w:val="009B1247"/>
    <w:rsid w:val="009B1D57"/>
    <w:rsid w:val="009B3864"/>
    <w:rsid w:val="009B432E"/>
    <w:rsid w:val="009B46F9"/>
    <w:rsid w:val="009B475B"/>
    <w:rsid w:val="009B6029"/>
    <w:rsid w:val="009B62ED"/>
    <w:rsid w:val="009B6961"/>
    <w:rsid w:val="009B6971"/>
    <w:rsid w:val="009B6EEF"/>
    <w:rsid w:val="009C0ABA"/>
    <w:rsid w:val="009C27F1"/>
    <w:rsid w:val="009C3152"/>
    <w:rsid w:val="009C3EE6"/>
    <w:rsid w:val="009C4CFA"/>
    <w:rsid w:val="009C5070"/>
    <w:rsid w:val="009C5E2E"/>
    <w:rsid w:val="009D112C"/>
    <w:rsid w:val="009D47FA"/>
    <w:rsid w:val="009D4C5B"/>
    <w:rsid w:val="009D50D2"/>
    <w:rsid w:val="009D6BCA"/>
    <w:rsid w:val="009E0F62"/>
    <w:rsid w:val="009E14E1"/>
    <w:rsid w:val="009E3F79"/>
    <w:rsid w:val="009E4A58"/>
    <w:rsid w:val="009E5A2D"/>
    <w:rsid w:val="009E5AB2"/>
    <w:rsid w:val="009E6219"/>
    <w:rsid w:val="009E7B14"/>
    <w:rsid w:val="009F03B3"/>
    <w:rsid w:val="009F2827"/>
    <w:rsid w:val="009F2C9C"/>
    <w:rsid w:val="009F3605"/>
    <w:rsid w:val="009F7413"/>
    <w:rsid w:val="00A0096C"/>
    <w:rsid w:val="00A01757"/>
    <w:rsid w:val="00A028C0"/>
    <w:rsid w:val="00A02BAE"/>
    <w:rsid w:val="00A069BB"/>
    <w:rsid w:val="00A06A6B"/>
    <w:rsid w:val="00A07E47"/>
    <w:rsid w:val="00A10927"/>
    <w:rsid w:val="00A11EE1"/>
    <w:rsid w:val="00A1232C"/>
    <w:rsid w:val="00A129D0"/>
    <w:rsid w:val="00A12C33"/>
    <w:rsid w:val="00A138BA"/>
    <w:rsid w:val="00A1393F"/>
    <w:rsid w:val="00A1433D"/>
    <w:rsid w:val="00A14C8E"/>
    <w:rsid w:val="00A14F20"/>
    <w:rsid w:val="00A153D9"/>
    <w:rsid w:val="00A15F09"/>
    <w:rsid w:val="00A15F81"/>
    <w:rsid w:val="00A169B6"/>
    <w:rsid w:val="00A20A28"/>
    <w:rsid w:val="00A20C18"/>
    <w:rsid w:val="00A20EEC"/>
    <w:rsid w:val="00A2271D"/>
    <w:rsid w:val="00A237D5"/>
    <w:rsid w:val="00A24F75"/>
    <w:rsid w:val="00A26C7E"/>
    <w:rsid w:val="00A30EFC"/>
    <w:rsid w:val="00A31984"/>
    <w:rsid w:val="00A32D73"/>
    <w:rsid w:val="00A3367B"/>
    <w:rsid w:val="00A350D0"/>
    <w:rsid w:val="00A3597D"/>
    <w:rsid w:val="00A36B74"/>
    <w:rsid w:val="00A36DD1"/>
    <w:rsid w:val="00A37489"/>
    <w:rsid w:val="00A4006C"/>
    <w:rsid w:val="00A40091"/>
    <w:rsid w:val="00A4030F"/>
    <w:rsid w:val="00A41C79"/>
    <w:rsid w:val="00A41CB5"/>
    <w:rsid w:val="00A42CDF"/>
    <w:rsid w:val="00A42F14"/>
    <w:rsid w:val="00A4452E"/>
    <w:rsid w:val="00A4472C"/>
    <w:rsid w:val="00A44E69"/>
    <w:rsid w:val="00A4661E"/>
    <w:rsid w:val="00A51F97"/>
    <w:rsid w:val="00A528CC"/>
    <w:rsid w:val="00A534F3"/>
    <w:rsid w:val="00A55BD6"/>
    <w:rsid w:val="00A55D50"/>
    <w:rsid w:val="00A57142"/>
    <w:rsid w:val="00A648CD"/>
    <w:rsid w:val="00A6537A"/>
    <w:rsid w:val="00A65CF8"/>
    <w:rsid w:val="00A67866"/>
    <w:rsid w:val="00A70B05"/>
    <w:rsid w:val="00A70B07"/>
    <w:rsid w:val="00A723F8"/>
    <w:rsid w:val="00A77CCB"/>
    <w:rsid w:val="00A8050D"/>
    <w:rsid w:val="00A80B00"/>
    <w:rsid w:val="00A81EF5"/>
    <w:rsid w:val="00A83D8D"/>
    <w:rsid w:val="00A8446B"/>
    <w:rsid w:val="00A8473F"/>
    <w:rsid w:val="00A8534D"/>
    <w:rsid w:val="00A862D6"/>
    <w:rsid w:val="00A8715E"/>
    <w:rsid w:val="00A9295B"/>
    <w:rsid w:val="00A93B09"/>
    <w:rsid w:val="00A94247"/>
    <w:rsid w:val="00A945C4"/>
    <w:rsid w:val="00A952D7"/>
    <w:rsid w:val="00A963F7"/>
    <w:rsid w:val="00A96AD8"/>
    <w:rsid w:val="00AA052C"/>
    <w:rsid w:val="00AA1E45"/>
    <w:rsid w:val="00AA3C64"/>
    <w:rsid w:val="00AA4286"/>
    <w:rsid w:val="00AA456B"/>
    <w:rsid w:val="00AA57F5"/>
    <w:rsid w:val="00AA6188"/>
    <w:rsid w:val="00AA672E"/>
    <w:rsid w:val="00AA6EC9"/>
    <w:rsid w:val="00AB0036"/>
    <w:rsid w:val="00AB1ECF"/>
    <w:rsid w:val="00AB41D5"/>
    <w:rsid w:val="00AB4F62"/>
    <w:rsid w:val="00AB6309"/>
    <w:rsid w:val="00AB6C5F"/>
    <w:rsid w:val="00AB7129"/>
    <w:rsid w:val="00AC27A6"/>
    <w:rsid w:val="00AC30F7"/>
    <w:rsid w:val="00AC3A5A"/>
    <w:rsid w:val="00AC4D95"/>
    <w:rsid w:val="00AC5DF4"/>
    <w:rsid w:val="00AC6178"/>
    <w:rsid w:val="00AD0AEF"/>
    <w:rsid w:val="00AD11B7"/>
    <w:rsid w:val="00AD1A94"/>
    <w:rsid w:val="00AD1C05"/>
    <w:rsid w:val="00AD4126"/>
    <w:rsid w:val="00AD421C"/>
    <w:rsid w:val="00AD44FA"/>
    <w:rsid w:val="00AE01BC"/>
    <w:rsid w:val="00AE070A"/>
    <w:rsid w:val="00AE101C"/>
    <w:rsid w:val="00AE37E5"/>
    <w:rsid w:val="00AE3DB6"/>
    <w:rsid w:val="00AE4740"/>
    <w:rsid w:val="00AE5EB4"/>
    <w:rsid w:val="00AE6B4F"/>
    <w:rsid w:val="00AF02F6"/>
    <w:rsid w:val="00AF0C18"/>
    <w:rsid w:val="00AF47C5"/>
    <w:rsid w:val="00AF5398"/>
    <w:rsid w:val="00AF6F00"/>
    <w:rsid w:val="00B017C4"/>
    <w:rsid w:val="00B02E9C"/>
    <w:rsid w:val="00B046DB"/>
    <w:rsid w:val="00B049AF"/>
    <w:rsid w:val="00B053F6"/>
    <w:rsid w:val="00B07242"/>
    <w:rsid w:val="00B10534"/>
    <w:rsid w:val="00B113DB"/>
    <w:rsid w:val="00B11432"/>
    <w:rsid w:val="00B11D8A"/>
    <w:rsid w:val="00B12981"/>
    <w:rsid w:val="00B13FFC"/>
    <w:rsid w:val="00B147DD"/>
    <w:rsid w:val="00B156FD"/>
    <w:rsid w:val="00B1685C"/>
    <w:rsid w:val="00B21078"/>
    <w:rsid w:val="00B21F61"/>
    <w:rsid w:val="00B261F1"/>
    <w:rsid w:val="00B265BC"/>
    <w:rsid w:val="00B30BE9"/>
    <w:rsid w:val="00B31FB1"/>
    <w:rsid w:val="00B33952"/>
    <w:rsid w:val="00B33C5E"/>
    <w:rsid w:val="00B342F4"/>
    <w:rsid w:val="00B34369"/>
    <w:rsid w:val="00B34DC2"/>
    <w:rsid w:val="00B3567E"/>
    <w:rsid w:val="00B378E5"/>
    <w:rsid w:val="00B42198"/>
    <w:rsid w:val="00B4346D"/>
    <w:rsid w:val="00B440F4"/>
    <w:rsid w:val="00B447A5"/>
    <w:rsid w:val="00B4654C"/>
    <w:rsid w:val="00B46AF0"/>
    <w:rsid w:val="00B47293"/>
    <w:rsid w:val="00B50E50"/>
    <w:rsid w:val="00B51942"/>
    <w:rsid w:val="00B52120"/>
    <w:rsid w:val="00B532F8"/>
    <w:rsid w:val="00B54ABC"/>
    <w:rsid w:val="00B54DDE"/>
    <w:rsid w:val="00B56FBE"/>
    <w:rsid w:val="00B60ACF"/>
    <w:rsid w:val="00B62B58"/>
    <w:rsid w:val="00B65149"/>
    <w:rsid w:val="00B655AB"/>
    <w:rsid w:val="00B66567"/>
    <w:rsid w:val="00B66CBB"/>
    <w:rsid w:val="00B66F52"/>
    <w:rsid w:val="00B66FE5"/>
    <w:rsid w:val="00B72880"/>
    <w:rsid w:val="00B72D74"/>
    <w:rsid w:val="00B73A1C"/>
    <w:rsid w:val="00B758BF"/>
    <w:rsid w:val="00B75C4D"/>
    <w:rsid w:val="00B7647B"/>
    <w:rsid w:val="00B77EC8"/>
    <w:rsid w:val="00B827A6"/>
    <w:rsid w:val="00B831CE"/>
    <w:rsid w:val="00B835EB"/>
    <w:rsid w:val="00B86677"/>
    <w:rsid w:val="00B86EDE"/>
    <w:rsid w:val="00B87131"/>
    <w:rsid w:val="00B90EFB"/>
    <w:rsid w:val="00B931B9"/>
    <w:rsid w:val="00B939B1"/>
    <w:rsid w:val="00B939FC"/>
    <w:rsid w:val="00B96D40"/>
    <w:rsid w:val="00B96FA0"/>
    <w:rsid w:val="00B97386"/>
    <w:rsid w:val="00BA11EA"/>
    <w:rsid w:val="00BA263B"/>
    <w:rsid w:val="00BA42B2"/>
    <w:rsid w:val="00BA58D4"/>
    <w:rsid w:val="00BA5B9E"/>
    <w:rsid w:val="00BA7528"/>
    <w:rsid w:val="00BA7C9A"/>
    <w:rsid w:val="00BB1988"/>
    <w:rsid w:val="00BB203B"/>
    <w:rsid w:val="00BB5048"/>
    <w:rsid w:val="00BB5F8F"/>
    <w:rsid w:val="00BB657A"/>
    <w:rsid w:val="00BC1A4E"/>
    <w:rsid w:val="00BC348D"/>
    <w:rsid w:val="00BC4790"/>
    <w:rsid w:val="00BC5C7B"/>
    <w:rsid w:val="00BC5DC7"/>
    <w:rsid w:val="00BC6763"/>
    <w:rsid w:val="00BC6B8B"/>
    <w:rsid w:val="00BC73D8"/>
    <w:rsid w:val="00BD52D7"/>
    <w:rsid w:val="00BD5939"/>
    <w:rsid w:val="00BD5AD2"/>
    <w:rsid w:val="00BE22F3"/>
    <w:rsid w:val="00BE36D0"/>
    <w:rsid w:val="00BE5B52"/>
    <w:rsid w:val="00BE7B8D"/>
    <w:rsid w:val="00BF0993"/>
    <w:rsid w:val="00BF10A9"/>
    <w:rsid w:val="00BF1703"/>
    <w:rsid w:val="00BF231C"/>
    <w:rsid w:val="00BF51E5"/>
    <w:rsid w:val="00BF74A6"/>
    <w:rsid w:val="00C013AD"/>
    <w:rsid w:val="00C02F6B"/>
    <w:rsid w:val="00C046CF"/>
    <w:rsid w:val="00C04904"/>
    <w:rsid w:val="00C056B3"/>
    <w:rsid w:val="00C06D42"/>
    <w:rsid w:val="00C103E5"/>
    <w:rsid w:val="00C13319"/>
    <w:rsid w:val="00C13EE9"/>
    <w:rsid w:val="00C1444F"/>
    <w:rsid w:val="00C161AA"/>
    <w:rsid w:val="00C20A34"/>
    <w:rsid w:val="00C21540"/>
    <w:rsid w:val="00C218C0"/>
    <w:rsid w:val="00C21906"/>
    <w:rsid w:val="00C21BFA"/>
    <w:rsid w:val="00C22148"/>
    <w:rsid w:val="00C24C8D"/>
    <w:rsid w:val="00C25FE2"/>
    <w:rsid w:val="00C26B53"/>
    <w:rsid w:val="00C273FF"/>
    <w:rsid w:val="00C279B2"/>
    <w:rsid w:val="00C301E8"/>
    <w:rsid w:val="00C304BA"/>
    <w:rsid w:val="00C31FF4"/>
    <w:rsid w:val="00C33E50"/>
    <w:rsid w:val="00C34C20"/>
    <w:rsid w:val="00C34E2D"/>
    <w:rsid w:val="00C35799"/>
    <w:rsid w:val="00C35A3E"/>
    <w:rsid w:val="00C36B34"/>
    <w:rsid w:val="00C42130"/>
    <w:rsid w:val="00C423A4"/>
    <w:rsid w:val="00C446D5"/>
    <w:rsid w:val="00C44BF5"/>
    <w:rsid w:val="00C46F16"/>
    <w:rsid w:val="00C500E2"/>
    <w:rsid w:val="00C521D6"/>
    <w:rsid w:val="00C5499A"/>
    <w:rsid w:val="00C55232"/>
    <w:rsid w:val="00C553A4"/>
    <w:rsid w:val="00C55564"/>
    <w:rsid w:val="00C55794"/>
    <w:rsid w:val="00C55A06"/>
    <w:rsid w:val="00C55D03"/>
    <w:rsid w:val="00C57186"/>
    <w:rsid w:val="00C57BAC"/>
    <w:rsid w:val="00C601BC"/>
    <w:rsid w:val="00C6329F"/>
    <w:rsid w:val="00C63340"/>
    <w:rsid w:val="00C643F9"/>
    <w:rsid w:val="00C64E95"/>
    <w:rsid w:val="00C71372"/>
    <w:rsid w:val="00C72410"/>
    <w:rsid w:val="00C7287F"/>
    <w:rsid w:val="00C74C7D"/>
    <w:rsid w:val="00C80609"/>
    <w:rsid w:val="00C80CB8"/>
    <w:rsid w:val="00C819F8"/>
    <w:rsid w:val="00C8248C"/>
    <w:rsid w:val="00C82F62"/>
    <w:rsid w:val="00C84E33"/>
    <w:rsid w:val="00C84EB3"/>
    <w:rsid w:val="00C86D6F"/>
    <w:rsid w:val="00C905FC"/>
    <w:rsid w:val="00C92D03"/>
    <w:rsid w:val="00C9319C"/>
    <w:rsid w:val="00C9428C"/>
    <w:rsid w:val="00C9435D"/>
    <w:rsid w:val="00C94DF2"/>
    <w:rsid w:val="00C95072"/>
    <w:rsid w:val="00C96741"/>
    <w:rsid w:val="00CA2D1B"/>
    <w:rsid w:val="00CA375D"/>
    <w:rsid w:val="00CA4E78"/>
    <w:rsid w:val="00CA662A"/>
    <w:rsid w:val="00CA743B"/>
    <w:rsid w:val="00CA7AFD"/>
    <w:rsid w:val="00CA7C3C"/>
    <w:rsid w:val="00CB0189"/>
    <w:rsid w:val="00CB0BA2"/>
    <w:rsid w:val="00CB1A42"/>
    <w:rsid w:val="00CB1B0C"/>
    <w:rsid w:val="00CB2C0B"/>
    <w:rsid w:val="00CB517D"/>
    <w:rsid w:val="00CB5A98"/>
    <w:rsid w:val="00CC038D"/>
    <w:rsid w:val="00CC08DB"/>
    <w:rsid w:val="00CC39FF"/>
    <w:rsid w:val="00CC3C2F"/>
    <w:rsid w:val="00CC452E"/>
    <w:rsid w:val="00CC4AC8"/>
    <w:rsid w:val="00CC4F71"/>
    <w:rsid w:val="00CC5233"/>
    <w:rsid w:val="00CC5399"/>
    <w:rsid w:val="00CC5DE6"/>
    <w:rsid w:val="00CC6E4E"/>
    <w:rsid w:val="00CC6FE8"/>
    <w:rsid w:val="00CC7202"/>
    <w:rsid w:val="00CD2808"/>
    <w:rsid w:val="00CD28BF"/>
    <w:rsid w:val="00CD4092"/>
    <w:rsid w:val="00CD4A20"/>
    <w:rsid w:val="00CD50A1"/>
    <w:rsid w:val="00CD519E"/>
    <w:rsid w:val="00CD561D"/>
    <w:rsid w:val="00CD76F3"/>
    <w:rsid w:val="00CE0C4F"/>
    <w:rsid w:val="00CE30EA"/>
    <w:rsid w:val="00CE5F97"/>
    <w:rsid w:val="00CF048A"/>
    <w:rsid w:val="00CF155A"/>
    <w:rsid w:val="00CF2947"/>
    <w:rsid w:val="00CF6052"/>
    <w:rsid w:val="00CF686F"/>
    <w:rsid w:val="00CF6E60"/>
    <w:rsid w:val="00CF7BCA"/>
    <w:rsid w:val="00D008FD"/>
    <w:rsid w:val="00D01653"/>
    <w:rsid w:val="00D0321C"/>
    <w:rsid w:val="00D035EC"/>
    <w:rsid w:val="00D06159"/>
    <w:rsid w:val="00D06AB1"/>
    <w:rsid w:val="00D072ED"/>
    <w:rsid w:val="00D07A16"/>
    <w:rsid w:val="00D1067E"/>
    <w:rsid w:val="00D10F50"/>
    <w:rsid w:val="00D11272"/>
    <w:rsid w:val="00D126F5"/>
    <w:rsid w:val="00D1489E"/>
    <w:rsid w:val="00D15761"/>
    <w:rsid w:val="00D20737"/>
    <w:rsid w:val="00D21E81"/>
    <w:rsid w:val="00D223DE"/>
    <w:rsid w:val="00D23A0C"/>
    <w:rsid w:val="00D25433"/>
    <w:rsid w:val="00D25E37"/>
    <w:rsid w:val="00D2657A"/>
    <w:rsid w:val="00D2661A"/>
    <w:rsid w:val="00D26ADA"/>
    <w:rsid w:val="00D27582"/>
    <w:rsid w:val="00D27EC4"/>
    <w:rsid w:val="00D31AD2"/>
    <w:rsid w:val="00D32719"/>
    <w:rsid w:val="00D32DC3"/>
    <w:rsid w:val="00D33333"/>
    <w:rsid w:val="00D33457"/>
    <w:rsid w:val="00D352A2"/>
    <w:rsid w:val="00D4162B"/>
    <w:rsid w:val="00D43DEB"/>
    <w:rsid w:val="00D4514F"/>
    <w:rsid w:val="00D451E2"/>
    <w:rsid w:val="00D45E89"/>
    <w:rsid w:val="00D45E8D"/>
    <w:rsid w:val="00D466AE"/>
    <w:rsid w:val="00D4734F"/>
    <w:rsid w:val="00D50848"/>
    <w:rsid w:val="00D51BF3"/>
    <w:rsid w:val="00D52D7E"/>
    <w:rsid w:val="00D53B0E"/>
    <w:rsid w:val="00D66846"/>
    <w:rsid w:val="00D675FB"/>
    <w:rsid w:val="00D70713"/>
    <w:rsid w:val="00D71F25"/>
    <w:rsid w:val="00D72A9C"/>
    <w:rsid w:val="00D77031"/>
    <w:rsid w:val="00D84941"/>
    <w:rsid w:val="00D84D45"/>
    <w:rsid w:val="00D84FA1"/>
    <w:rsid w:val="00D851F0"/>
    <w:rsid w:val="00D86DB7"/>
    <w:rsid w:val="00D91443"/>
    <w:rsid w:val="00D91F5C"/>
    <w:rsid w:val="00D926D0"/>
    <w:rsid w:val="00D93030"/>
    <w:rsid w:val="00D950E1"/>
    <w:rsid w:val="00D952A6"/>
    <w:rsid w:val="00D97F99"/>
    <w:rsid w:val="00DA172A"/>
    <w:rsid w:val="00DA1E08"/>
    <w:rsid w:val="00DA24F8"/>
    <w:rsid w:val="00DA28E8"/>
    <w:rsid w:val="00DA38D3"/>
    <w:rsid w:val="00DA3932"/>
    <w:rsid w:val="00DA3AFC"/>
    <w:rsid w:val="00DA5191"/>
    <w:rsid w:val="00DA64F8"/>
    <w:rsid w:val="00DA6500"/>
    <w:rsid w:val="00DA6C15"/>
    <w:rsid w:val="00DB0258"/>
    <w:rsid w:val="00DB38EE"/>
    <w:rsid w:val="00DB498B"/>
    <w:rsid w:val="00DB5E49"/>
    <w:rsid w:val="00DB66CA"/>
    <w:rsid w:val="00DB6BCA"/>
    <w:rsid w:val="00DB73F7"/>
    <w:rsid w:val="00DC0321"/>
    <w:rsid w:val="00DC16F2"/>
    <w:rsid w:val="00DC17D1"/>
    <w:rsid w:val="00DC3067"/>
    <w:rsid w:val="00DC370B"/>
    <w:rsid w:val="00DC5B90"/>
    <w:rsid w:val="00DC63DA"/>
    <w:rsid w:val="00DD00FF"/>
    <w:rsid w:val="00DD0619"/>
    <w:rsid w:val="00DD07FB"/>
    <w:rsid w:val="00DD25C6"/>
    <w:rsid w:val="00DD4FE5"/>
    <w:rsid w:val="00DD54B0"/>
    <w:rsid w:val="00DD57EE"/>
    <w:rsid w:val="00DD6BCC"/>
    <w:rsid w:val="00DE039D"/>
    <w:rsid w:val="00DE0A4B"/>
    <w:rsid w:val="00DE188E"/>
    <w:rsid w:val="00DE1C61"/>
    <w:rsid w:val="00DE2410"/>
    <w:rsid w:val="00DE2939"/>
    <w:rsid w:val="00DE6E81"/>
    <w:rsid w:val="00DE703F"/>
    <w:rsid w:val="00DE7595"/>
    <w:rsid w:val="00DE7E36"/>
    <w:rsid w:val="00DF1961"/>
    <w:rsid w:val="00DF2F4C"/>
    <w:rsid w:val="00DF32A4"/>
    <w:rsid w:val="00DF44DE"/>
    <w:rsid w:val="00DF5F11"/>
    <w:rsid w:val="00DF79BF"/>
    <w:rsid w:val="00E01138"/>
    <w:rsid w:val="00E01AC0"/>
    <w:rsid w:val="00E02DFB"/>
    <w:rsid w:val="00E030F9"/>
    <w:rsid w:val="00E0311A"/>
    <w:rsid w:val="00E03138"/>
    <w:rsid w:val="00E06404"/>
    <w:rsid w:val="00E065D2"/>
    <w:rsid w:val="00E11A85"/>
    <w:rsid w:val="00E12495"/>
    <w:rsid w:val="00E150BF"/>
    <w:rsid w:val="00E1535B"/>
    <w:rsid w:val="00E15480"/>
    <w:rsid w:val="00E15CCD"/>
    <w:rsid w:val="00E202EF"/>
    <w:rsid w:val="00E203AC"/>
    <w:rsid w:val="00E210B5"/>
    <w:rsid w:val="00E218A1"/>
    <w:rsid w:val="00E22378"/>
    <w:rsid w:val="00E22862"/>
    <w:rsid w:val="00E23D99"/>
    <w:rsid w:val="00E25007"/>
    <w:rsid w:val="00E2552F"/>
    <w:rsid w:val="00E27C44"/>
    <w:rsid w:val="00E3137A"/>
    <w:rsid w:val="00E3274C"/>
    <w:rsid w:val="00E32CCF"/>
    <w:rsid w:val="00E34A98"/>
    <w:rsid w:val="00E35D1E"/>
    <w:rsid w:val="00E364F9"/>
    <w:rsid w:val="00E365FA"/>
    <w:rsid w:val="00E36789"/>
    <w:rsid w:val="00E43B01"/>
    <w:rsid w:val="00E44A83"/>
    <w:rsid w:val="00E44B81"/>
    <w:rsid w:val="00E502C1"/>
    <w:rsid w:val="00E502DD"/>
    <w:rsid w:val="00E50D3A"/>
    <w:rsid w:val="00E51387"/>
    <w:rsid w:val="00E51E68"/>
    <w:rsid w:val="00E5275A"/>
    <w:rsid w:val="00E52EFD"/>
    <w:rsid w:val="00E5408A"/>
    <w:rsid w:val="00E56800"/>
    <w:rsid w:val="00E60C63"/>
    <w:rsid w:val="00E62FF9"/>
    <w:rsid w:val="00E635D6"/>
    <w:rsid w:val="00E639BC"/>
    <w:rsid w:val="00E64E23"/>
    <w:rsid w:val="00E664CC"/>
    <w:rsid w:val="00E66528"/>
    <w:rsid w:val="00E676C2"/>
    <w:rsid w:val="00E67770"/>
    <w:rsid w:val="00E70388"/>
    <w:rsid w:val="00E70F92"/>
    <w:rsid w:val="00E72A7E"/>
    <w:rsid w:val="00E74C54"/>
    <w:rsid w:val="00E74C75"/>
    <w:rsid w:val="00E77A03"/>
    <w:rsid w:val="00E822E8"/>
    <w:rsid w:val="00E82554"/>
    <w:rsid w:val="00E82606"/>
    <w:rsid w:val="00E846C8"/>
    <w:rsid w:val="00E84957"/>
    <w:rsid w:val="00E84A55"/>
    <w:rsid w:val="00E8595E"/>
    <w:rsid w:val="00E85BFF"/>
    <w:rsid w:val="00E867DD"/>
    <w:rsid w:val="00E90391"/>
    <w:rsid w:val="00E90460"/>
    <w:rsid w:val="00E906C2"/>
    <w:rsid w:val="00E91AAA"/>
    <w:rsid w:val="00E9311F"/>
    <w:rsid w:val="00E934D1"/>
    <w:rsid w:val="00E94AF0"/>
    <w:rsid w:val="00E95D13"/>
    <w:rsid w:val="00E95DD3"/>
    <w:rsid w:val="00E969D5"/>
    <w:rsid w:val="00E97E2C"/>
    <w:rsid w:val="00EA0C26"/>
    <w:rsid w:val="00EA58D1"/>
    <w:rsid w:val="00EA61BC"/>
    <w:rsid w:val="00EA681A"/>
    <w:rsid w:val="00EA735B"/>
    <w:rsid w:val="00EB17DE"/>
    <w:rsid w:val="00EB1E69"/>
    <w:rsid w:val="00EB2086"/>
    <w:rsid w:val="00EB5EDF"/>
    <w:rsid w:val="00EB60FE"/>
    <w:rsid w:val="00EB74DB"/>
    <w:rsid w:val="00EC5323"/>
    <w:rsid w:val="00EC5359"/>
    <w:rsid w:val="00EC562A"/>
    <w:rsid w:val="00ED067A"/>
    <w:rsid w:val="00ED21AE"/>
    <w:rsid w:val="00ED241B"/>
    <w:rsid w:val="00ED2B50"/>
    <w:rsid w:val="00EE0350"/>
    <w:rsid w:val="00EE0719"/>
    <w:rsid w:val="00EE0E80"/>
    <w:rsid w:val="00EE54A6"/>
    <w:rsid w:val="00EE613F"/>
    <w:rsid w:val="00EE63E7"/>
    <w:rsid w:val="00EE7295"/>
    <w:rsid w:val="00EE7869"/>
    <w:rsid w:val="00EF054A"/>
    <w:rsid w:val="00EF0C04"/>
    <w:rsid w:val="00EF3235"/>
    <w:rsid w:val="00EF4B00"/>
    <w:rsid w:val="00EF7E72"/>
    <w:rsid w:val="00F003B3"/>
    <w:rsid w:val="00F05342"/>
    <w:rsid w:val="00F06D37"/>
    <w:rsid w:val="00F07B9D"/>
    <w:rsid w:val="00F10652"/>
    <w:rsid w:val="00F11586"/>
    <w:rsid w:val="00F1183B"/>
    <w:rsid w:val="00F11C9F"/>
    <w:rsid w:val="00F12263"/>
    <w:rsid w:val="00F13A1E"/>
    <w:rsid w:val="00F1409D"/>
    <w:rsid w:val="00F14214"/>
    <w:rsid w:val="00F157A9"/>
    <w:rsid w:val="00F16E18"/>
    <w:rsid w:val="00F17208"/>
    <w:rsid w:val="00F21728"/>
    <w:rsid w:val="00F21D86"/>
    <w:rsid w:val="00F25BB6"/>
    <w:rsid w:val="00F26B7E"/>
    <w:rsid w:val="00F27A3B"/>
    <w:rsid w:val="00F32668"/>
    <w:rsid w:val="00F33817"/>
    <w:rsid w:val="00F3408E"/>
    <w:rsid w:val="00F40ED0"/>
    <w:rsid w:val="00F420D5"/>
    <w:rsid w:val="00F451EA"/>
    <w:rsid w:val="00F45447"/>
    <w:rsid w:val="00F456C6"/>
    <w:rsid w:val="00F4577B"/>
    <w:rsid w:val="00F46496"/>
    <w:rsid w:val="00F474D0"/>
    <w:rsid w:val="00F50179"/>
    <w:rsid w:val="00F515EE"/>
    <w:rsid w:val="00F52388"/>
    <w:rsid w:val="00F52C0A"/>
    <w:rsid w:val="00F5536D"/>
    <w:rsid w:val="00F5615C"/>
    <w:rsid w:val="00F56511"/>
    <w:rsid w:val="00F6194E"/>
    <w:rsid w:val="00F623AC"/>
    <w:rsid w:val="00F6412A"/>
    <w:rsid w:val="00F65308"/>
    <w:rsid w:val="00F65893"/>
    <w:rsid w:val="00F66A4A"/>
    <w:rsid w:val="00F71E22"/>
    <w:rsid w:val="00F72142"/>
    <w:rsid w:val="00F72AE7"/>
    <w:rsid w:val="00F81141"/>
    <w:rsid w:val="00F827CF"/>
    <w:rsid w:val="00F833BA"/>
    <w:rsid w:val="00F84FD0"/>
    <w:rsid w:val="00F859A8"/>
    <w:rsid w:val="00F86734"/>
    <w:rsid w:val="00F86D87"/>
    <w:rsid w:val="00F9108B"/>
    <w:rsid w:val="00F91349"/>
    <w:rsid w:val="00F93A8A"/>
    <w:rsid w:val="00F95248"/>
    <w:rsid w:val="00F956A9"/>
    <w:rsid w:val="00F963ED"/>
    <w:rsid w:val="00F966CF"/>
    <w:rsid w:val="00F96CAE"/>
    <w:rsid w:val="00F97C99"/>
    <w:rsid w:val="00FA049B"/>
    <w:rsid w:val="00FA3A8F"/>
    <w:rsid w:val="00FA4DAC"/>
    <w:rsid w:val="00FA662D"/>
    <w:rsid w:val="00FA73B1"/>
    <w:rsid w:val="00FB0CB9"/>
    <w:rsid w:val="00FB1F5A"/>
    <w:rsid w:val="00FB231D"/>
    <w:rsid w:val="00FB3BC0"/>
    <w:rsid w:val="00FB45F1"/>
    <w:rsid w:val="00FB4A72"/>
    <w:rsid w:val="00FB54E8"/>
    <w:rsid w:val="00FB5550"/>
    <w:rsid w:val="00FB7054"/>
    <w:rsid w:val="00FC080D"/>
    <w:rsid w:val="00FC17B7"/>
    <w:rsid w:val="00FC2CB7"/>
    <w:rsid w:val="00FC4090"/>
    <w:rsid w:val="00FC55B4"/>
    <w:rsid w:val="00FD00E6"/>
    <w:rsid w:val="00FD09A1"/>
    <w:rsid w:val="00FD18A5"/>
    <w:rsid w:val="00FD226C"/>
    <w:rsid w:val="00FD252A"/>
    <w:rsid w:val="00FD2A7C"/>
    <w:rsid w:val="00FD4328"/>
    <w:rsid w:val="00FD51FD"/>
    <w:rsid w:val="00FD59EB"/>
    <w:rsid w:val="00FD7299"/>
    <w:rsid w:val="00FD7E7D"/>
    <w:rsid w:val="00FE1FBE"/>
    <w:rsid w:val="00FE3901"/>
    <w:rsid w:val="00FE39D3"/>
    <w:rsid w:val="00FE3DEB"/>
    <w:rsid w:val="00FE4BCE"/>
    <w:rsid w:val="00FE4F50"/>
    <w:rsid w:val="00FE4FE8"/>
    <w:rsid w:val="00FE54AE"/>
    <w:rsid w:val="00FE576A"/>
    <w:rsid w:val="00FE77F9"/>
    <w:rsid w:val="00FE7E79"/>
    <w:rsid w:val="00FF3E7D"/>
    <w:rsid w:val="00FF3FB1"/>
    <w:rsid w:val="00FF47EA"/>
    <w:rsid w:val="00FF5B99"/>
    <w:rsid w:val="00FF730C"/>
    <w:rsid w:val="00FF73F4"/>
    <w:rsid w:val="00FF7CE4"/>
    <w:rsid w:val="00FF7E39"/>
    <w:rsid w:val="0A256191"/>
    <w:rsid w:val="0EFD0D00"/>
    <w:rsid w:val="12A21F58"/>
    <w:rsid w:val="12E558C9"/>
    <w:rsid w:val="13D8202D"/>
    <w:rsid w:val="17FB2C27"/>
    <w:rsid w:val="1B581D94"/>
    <w:rsid w:val="1EFD41DA"/>
    <w:rsid w:val="1FD32948"/>
    <w:rsid w:val="26923652"/>
    <w:rsid w:val="26976211"/>
    <w:rsid w:val="275830EE"/>
    <w:rsid w:val="28410318"/>
    <w:rsid w:val="293640E7"/>
    <w:rsid w:val="2AB84DE6"/>
    <w:rsid w:val="34E31C3C"/>
    <w:rsid w:val="38805C50"/>
    <w:rsid w:val="3C9F3A7B"/>
    <w:rsid w:val="45E6114C"/>
    <w:rsid w:val="4C833135"/>
    <w:rsid w:val="4CC516A5"/>
    <w:rsid w:val="4F196AD1"/>
    <w:rsid w:val="548734F6"/>
    <w:rsid w:val="5B295465"/>
    <w:rsid w:val="5B607F06"/>
    <w:rsid w:val="5C25514A"/>
    <w:rsid w:val="62801330"/>
    <w:rsid w:val="68416D2E"/>
    <w:rsid w:val="6B80414A"/>
    <w:rsid w:val="72414202"/>
    <w:rsid w:val="7EBF3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after="160"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91"/>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50"/>
    <w:semiHidden/>
    <w:unhideWhenUsed/>
    <w:qFormat/>
    <w:uiPriority w:val="99"/>
    <w:rPr>
      <w:sz w:val="18"/>
      <w:szCs w:val="18"/>
    </w:rPr>
  </w:style>
  <w:style w:type="paragraph" w:styleId="17">
    <w:name w:val="footer"/>
    <w:basedOn w:val="1"/>
    <w:link w:val="49"/>
    <w:qFormat/>
    <w:uiPriority w:val="0"/>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8"/>
    <w:qFormat/>
    <w:uiPriority w:val="0"/>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53"/>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b/>
      <w:bCs/>
    </w:rPr>
  </w:style>
  <w:style w:type="character" w:styleId="30">
    <w:name w:val="page number"/>
    <w:qFormat/>
    <w:uiPriority w:val="0"/>
    <w:rPr>
      <w:rFonts w:ascii="宋体" w:hAnsi="Times New Roman" w:eastAsia="宋体"/>
      <w:sz w:val="18"/>
    </w:rPr>
  </w:style>
  <w:style w:type="character" w:styleId="31">
    <w:name w:val="FollowedHyperlink"/>
    <w:basedOn w:val="28"/>
    <w:qFormat/>
    <w:uiPriority w:val="0"/>
    <w:rPr>
      <w:color w:val="428BCA"/>
      <w:u w:val="none"/>
    </w:rPr>
  </w:style>
  <w:style w:type="character" w:styleId="32">
    <w:name w:val="Emphasis"/>
    <w:qFormat/>
    <w:uiPriority w:val="20"/>
    <w:rPr>
      <w:i/>
      <w:iCs/>
    </w:rPr>
  </w:style>
  <w:style w:type="character" w:styleId="33">
    <w:name w:val="HTML Definition"/>
    <w:basedOn w:val="28"/>
    <w:qFormat/>
    <w:uiPriority w:val="0"/>
    <w:rPr>
      <w:i/>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HTML Code"/>
    <w:basedOn w:val="28"/>
    <w:qFormat/>
    <w:uiPriority w:val="0"/>
    <w:rPr>
      <w:rFonts w:ascii="Consolas" w:hAnsi="Consolas" w:eastAsia="Consolas" w:cs="Consolas"/>
      <w:color w:val="C7254E"/>
      <w:sz w:val="21"/>
      <w:szCs w:val="21"/>
      <w:shd w:val="clear" w:color="auto" w:fill="F9F2F4"/>
    </w:rPr>
  </w:style>
  <w:style w:type="character" w:styleId="36">
    <w:name w:val="footnote reference"/>
    <w:semiHidden/>
    <w:qFormat/>
    <w:uiPriority w:val="0"/>
    <w:rPr>
      <w:rFonts w:ascii="宋体" w:hAnsi="宋体" w:eastAsia="宋体" w:cs="Times New Roman"/>
      <w:spacing w:val="0"/>
      <w:sz w:val="18"/>
      <w:vertAlign w:val="superscript"/>
    </w:rPr>
  </w:style>
  <w:style w:type="character" w:styleId="37">
    <w:name w:val="HTML Keyboard"/>
    <w:basedOn w:val="28"/>
    <w:qFormat/>
    <w:uiPriority w:val="0"/>
    <w:rPr>
      <w:rFonts w:hint="default" w:ascii="Consolas" w:hAnsi="Consolas" w:eastAsia="Consolas" w:cs="Consolas"/>
      <w:color w:val="FFFFFF"/>
      <w:sz w:val="21"/>
      <w:szCs w:val="21"/>
      <w:shd w:val="clear" w:color="auto" w:fill="333333"/>
    </w:rPr>
  </w:style>
  <w:style w:type="character" w:styleId="38">
    <w:name w:val="HTML Sample"/>
    <w:basedOn w:val="28"/>
    <w:qFormat/>
    <w:uiPriority w:val="0"/>
    <w:rPr>
      <w:rFonts w:hint="default" w:ascii="Consolas" w:hAnsi="Consolas" w:eastAsia="Consolas" w:cs="Consolas"/>
      <w:sz w:val="21"/>
      <w:szCs w:val="21"/>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5 字符"/>
    <w:link w:val="6"/>
    <w:qFormat/>
    <w:uiPriority w:val="0"/>
    <w:rPr>
      <w:b/>
      <w:bCs/>
      <w:kern w:val="2"/>
      <w:sz w:val="28"/>
      <w:szCs w:val="28"/>
    </w:rPr>
  </w:style>
  <w:style w:type="character" w:customStyle="1" w:styleId="44">
    <w:name w:val="标题 6 字符"/>
    <w:link w:val="7"/>
    <w:qFormat/>
    <w:uiPriority w:val="0"/>
    <w:rPr>
      <w:rFonts w:ascii="Arial" w:hAnsi="Arial" w:eastAsia="黑体"/>
      <w:b/>
      <w:bCs/>
      <w:kern w:val="2"/>
      <w:sz w:val="24"/>
      <w:szCs w:val="24"/>
    </w:rPr>
  </w:style>
  <w:style w:type="character" w:customStyle="1" w:styleId="45">
    <w:name w:val="标题 7 字符"/>
    <w:link w:val="8"/>
    <w:qFormat/>
    <w:uiPriority w:val="0"/>
    <w:rPr>
      <w:b/>
      <w:bCs/>
      <w:kern w:val="2"/>
      <w:sz w:val="24"/>
      <w:szCs w:val="24"/>
    </w:rPr>
  </w:style>
  <w:style w:type="character" w:customStyle="1" w:styleId="46">
    <w:name w:val="标题 8 字符"/>
    <w:link w:val="9"/>
    <w:qFormat/>
    <w:uiPriority w:val="0"/>
    <w:rPr>
      <w:rFonts w:ascii="Arial" w:hAnsi="Arial" w:eastAsia="黑体"/>
      <w:kern w:val="2"/>
      <w:sz w:val="24"/>
      <w:szCs w:val="24"/>
    </w:rPr>
  </w:style>
  <w:style w:type="character" w:customStyle="1" w:styleId="47">
    <w:name w:val="标题 9 字符"/>
    <w:link w:val="10"/>
    <w:qFormat/>
    <w:uiPriority w:val="0"/>
    <w:rPr>
      <w:rFonts w:ascii="Arial" w:hAnsi="Arial" w:eastAsia="黑体"/>
      <w:kern w:val="2"/>
      <w:sz w:val="21"/>
      <w:szCs w:val="21"/>
    </w:rPr>
  </w:style>
  <w:style w:type="character" w:customStyle="1" w:styleId="48">
    <w:name w:val="页眉 字符"/>
    <w:link w:val="18"/>
    <w:qFormat/>
    <w:uiPriority w:val="99"/>
    <w:rPr>
      <w:kern w:val="2"/>
      <w:sz w:val="18"/>
      <w:szCs w:val="18"/>
    </w:rPr>
  </w:style>
  <w:style w:type="character" w:customStyle="1" w:styleId="49">
    <w:name w:val="页脚 字符"/>
    <w:link w:val="17"/>
    <w:qFormat/>
    <w:uiPriority w:val="99"/>
    <w:rPr>
      <w:rFonts w:ascii="宋体"/>
      <w:kern w:val="2"/>
      <w:sz w:val="18"/>
      <w:szCs w:val="18"/>
    </w:rPr>
  </w:style>
  <w:style w:type="character" w:customStyle="1" w:styleId="50">
    <w:name w:val="批注框文本 字符"/>
    <w:link w:val="16"/>
    <w:semiHidden/>
    <w:qFormat/>
    <w:uiPriority w:val="99"/>
    <w:rPr>
      <w:kern w:val="2"/>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kern w:val="2"/>
      <w:sz w:val="21"/>
      <w:szCs w:val="21"/>
    </w:rPr>
  </w:style>
  <w:style w:type="character" w:customStyle="1" w:styleId="53">
    <w:name w:val="标题 字符"/>
    <w:link w:val="25"/>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after="160"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spacing w:after="160" w:line="278" w:lineRule="auto"/>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spacing w:after="160" w:line="278" w:lineRule="auto"/>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line="278" w:lineRule="auto"/>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spacing w:after="160" w:line="278" w:lineRule="auto"/>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line="278" w:lineRule="auto"/>
      <w:ind w:left="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50" w:afterLines="50" w:line="278" w:lineRule="auto"/>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line="278" w:lineRule="auto"/>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line="278" w:lineRule="auto"/>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line="278" w:lineRule="auto"/>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line="278" w:lineRule="auto"/>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line="278" w:lineRule="auto"/>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3"/>
    <w:qFormat/>
    <w:uiPriority w:val="0"/>
    <w:pPr>
      <w:numPr>
        <w:ilvl w:val="0"/>
        <w:numId w:val="7"/>
      </w:numPr>
      <w:tabs>
        <w:tab w:val="left" w:pos="6406"/>
      </w:tabs>
      <w:spacing w:before="220" w:after="320" w:line="278" w:lineRule="auto"/>
      <w:jc w:val="center"/>
      <w:outlineLvl w:val="0"/>
    </w:pPr>
    <w:rPr>
      <w:rFonts w:ascii="黑体" w:hAnsi="Times New Roman" w:eastAsia="黑体" w:cs="Times New Roman"/>
      <w:sz w:val="21"/>
      <w:lang w:val="en-US" w:eastAsia="zh-CN" w:bidi="ar-SA"/>
    </w:rPr>
  </w:style>
  <w:style w:type="character" w:customStyle="1" w:styleId="91">
    <w:name w:val="正文文本 字符"/>
    <w:link w:val="13"/>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160" w:afterLines="50" w:line="278"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line="278" w:lineRule="auto"/>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spacing w:after="160" w:line="278" w:lineRule="auto"/>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ind w:left="0"/>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spacing w:after="160" w:line="278" w:lineRule="auto"/>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line="278" w:lineRule="auto"/>
      <w:ind w:left="0"/>
      <w:jc w:val="both"/>
      <w:outlineLvl w:val="4"/>
    </w:pPr>
    <w:rPr>
      <w:rFonts w:ascii="黑体" w:hAnsi="Times New Roman" w:eastAsia="黑体" w:cs="Times New Roman"/>
      <w:sz w:val="21"/>
      <w:lang w:val="en-US" w:eastAsia="zh-CN" w:bidi="ar-SA"/>
    </w:rPr>
  </w:style>
  <w:style w:type="character" w:customStyle="1" w:styleId="104">
    <w:name w:val="脚注文本 字符"/>
    <w:link w:val="21"/>
    <w:semiHidden/>
    <w:qFormat/>
    <w:uiPriority w:val="0"/>
    <w:rPr>
      <w:rFonts w:ascii="宋体"/>
      <w:kern w:val="2"/>
      <w:sz w:val="18"/>
      <w:szCs w:val="18"/>
    </w:rPr>
  </w:style>
  <w:style w:type="paragraph" w:customStyle="1" w:styleId="105">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line="278" w:lineRule="auto"/>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line="278" w:lineRule="auto"/>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ind w:left="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tabs>
        <w:tab w:val="left" w:pos="851"/>
      </w:tabs>
      <w:spacing w:after="160" w:line="278" w:lineRule="auto"/>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line="278" w:lineRule="auto"/>
      <w:ind w:left="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spacing w:after="160" w:line="278" w:lineRule="auto"/>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spacing w:after="160" w:line="278" w:lineRule="auto"/>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tabs>
        <w:tab w:val="left" w:pos="851"/>
      </w:tabs>
      <w:spacing w:after="160" w:line="278" w:lineRule="auto"/>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spacing w:after="160" w:line="278" w:lineRule="auto"/>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spacing w:after="160" w:line="278" w:lineRule="auto"/>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after="16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after="16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after="160"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after="16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line="278" w:lineRule="auto"/>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tabs>
        <w:tab w:val="left" w:pos="851"/>
        <w:tab w:val="clear" w:pos="1419"/>
      </w:tabs>
      <w:spacing w:after="160" w:line="278" w:lineRule="auto"/>
      <w:ind w:left="851"/>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spacing w:after="160" w:line="278" w:lineRule="auto"/>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spacing w:after="160" w:line="278" w:lineRule="auto"/>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after="160"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spacing w:after="160" w:line="278" w:lineRule="auto"/>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spacing w:after="160" w:line="278" w:lineRule="auto"/>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after="160"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pPr>
      <w:spacing w:after="160" w:line="278" w:lineRule="auto"/>
    </w:pPr>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3"/>
      </w:numPr>
      <w:spacing w:after="160" w:line="278" w:lineRule="auto"/>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spacing w:after="160" w:line="278" w:lineRule="auto"/>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after="160"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spacing w:after="160" w:line="278" w:lineRule="auto"/>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28"/>
    <w:semiHidden/>
    <w:qFormat/>
    <w:uiPriority w:val="99"/>
    <w:rPr>
      <w:color w:val="808080"/>
    </w:rPr>
  </w:style>
  <w:style w:type="paragraph" w:customStyle="1" w:styleId="192">
    <w:name w:val="标准文件_二级项2"/>
    <w:basedOn w:val="61"/>
    <w:qFormat/>
    <w:uiPriority w:val="0"/>
    <w:pPr>
      <w:numPr>
        <w:ilvl w:val="1"/>
        <w:numId w:val="21"/>
      </w:numPr>
      <w:ind w:firstLine="0" w:firstLineChars="0"/>
    </w:pPr>
  </w:style>
  <w:style w:type="paragraph" w:customStyle="1" w:styleId="193">
    <w:name w:val="标准文件_三级项2"/>
    <w:basedOn w:val="61"/>
    <w:qFormat/>
    <w:uiPriority w:val="0"/>
    <w:pPr>
      <w:numPr>
        <w:ilvl w:val="0"/>
        <w:numId w:val="30"/>
      </w:numPr>
      <w:spacing w:line="300" w:lineRule="exact"/>
      <w:ind w:firstLineChars="0"/>
    </w:pPr>
    <w:rPr>
      <w:rFonts w:ascii="Times New Roman"/>
    </w:rPr>
  </w:style>
  <w:style w:type="paragraph" w:customStyle="1" w:styleId="194">
    <w:name w:val="标准文件_一级项2"/>
    <w:basedOn w:val="61"/>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28"/>
    <w:qFormat/>
    <w:uiPriority w:val="1"/>
    <w:rPr>
      <w:rFonts w:eastAsia="宋体"/>
      <w:sz w:val="21"/>
    </w:rPr>
  </w:style>
  <w:style w:type="paragraph" w:customStyle="1" w:styleId="197">
    <w:name w:val="标准文件_图表说明"/>
    <w:qFormat/>
    <w:uiPriority w:val="0"/>
    <w:pPr>
      <w:spacing w:after="160"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framePr w:wrap="around"/>
      <w:spacing w:before="57"/>
    </w:pPr>
    <w:rPr>
      <w:sz w:val="21"/>
    </w:rPr>
  </w:style>
  <w:style w:type="paragraph" w:customStyle="1" w:styleId="202">
    <w:name w:val="标准文件_文件名称"/>
    <w:basedOn w:val="61"/>
    <w:next w:val="6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character" w:customStyle="1" w:styleId="234">
    <w:name w:val="发布"/>
    <w:basedOn w:val="28"/>
    <w:qFormat/>
    <w:uiPriority w:val="0"/>
    <w:rPr>
      <w:rFonts w:ascii="黑体" w:eastAsia="黑体"/>
      <w:spacing w:val="85"/>
      <w:w w:val="100"/>
      <w:position w:val="3"/>
      <w:sz w:val="28"/>
      <w:szCs w:val="28"/>
    </w:rPr>
  </w:style>
  <w:style w:type="paragraph" w:customStyle="1" w:styleId="235">
    <w:name w:val="段"/>
    <w:link w:val="236"/>
    <w:qFormat/>
    <w:uiPriority w:val="0"/>
    <w:pPr>
      <w:tabs>
        <w:tab w:val="center" w:pos="4201"/>
        <w:tab w:val="right" w:leader="dot" w:pos="9298"/>
      </w:tabs>
      <w:autoSpaceDE w:val="0"/>
      <w:autoSpaceDN w:val="0"/>
      <w:spacing w:after="160" w:line="278" w:lineRule="auto"/>
      <w:ind w:firstLine="420" w:firstLineChars="200"/>
      <w:jc w:val="both"/>
    </w:pPr>
    <w:rPr>
      <w:rFonts w:ascii="宋体" w:hAnsi="Times New Roman" w:eastAsia="宋体" w:cs="Times New Roman"/>
      <w:sz w:val="21"/>
      <w:lang w:val="en-US" w:eastAsia="zh-CN" w:bidi="ar-SA"/>
    </w:rPr>
  </w:style>
  <w:style w:type="character" w:customStyle="1" w:styleId="236">
    <w:name w:val="段 Char"/>
    <w:link w:val="235"/>
    <w:qFormat/>
    <w:uiPriority w:val="0"/>
    <w:rPr>
      <w:rFonts w:ascii="宋体" w:hAnsi="Times New Roman"/>
      <w:sz w:val="21"/>
    </w:rPr>
  </w:style>
  <w:style w:type="paragraph" w:customStyle="1" w:styleId="237">
    <w:name w:val="章标题"/>
    <w:next w:val="235"/>
    <w:link w:val="241"/>
    <w:qFormat/>
    <w:uiPriority w:val="0"/>
    <w:pPr>
      <w:numPr>
        <w:ilvl w:val="0"/>
        <w:numId w:val="32"/>
      </w:numPr>
      <w:spacing w:before="312" w:beforeLines="100" w:after="312" w:afterLines="100" w:line="278" w:lineRule="auto"/>
      <w:jc w:val="both"/>
      <w:outlineLvl w:val="1"/>
    </w:pPr>
    <w:rPr>
      <w:rFonts w:ascii="黑体" w:hAnsi="Times New Roman" w:eastAsia="黑体" w:cs="Times New Roman"/>
      <w:sz w:val="21"/>
      <w:lang w:val="en-US" w:eastAsia="zh-CN" w:bidi="ar-SA"/>
    </w:rPr>
  </w:style>
  <w:style w:type="paragraph" w:customStyle="1" w:styleId="238">
    <w:name w:val="一级条标题"/>
    <w:next w:val="235"/>
    <w:link w:val="240"/>
    <w:qFormat/>
    <w:uiPriority w:val="0"/>
    <w:pPr>
      <w:numPr>
        <w:ilvl w:val="1"/>
        <w:numId w:val="32"/>
      </w:numPr>
      <w:spacing w:before="156" w:beforeLines="50" w:after="156" w:afterLines="50" w:line="278" w:lineRule="auto"/>
      <w:outlineLvl w:val="2"/>
    </w:pPr>
    <w:rPr>
      <w:rFonts w:ascii="黑体" w:hAnsi="Times New Roman" w:eastAsia="黑体" w:cs="Times New Roman"/>
      <w:sz w:val="21"/>
      <w:szCs w:val="21"/>
      <w:lang w:val="en-US" w:eastAsia="zh-CN" w:bidi="ar-SA"/>
    </w:rPr>
  </w:style>
  <w:style w:type="paragraph" w:customStyle="1" w:styleId="239">
    <w:name w:val="二级条标题"/>
    <w:basedOn w:val="238"/>
    <w:next w:val="235"/>
    <w:link w:val="258"/>
    <w:qFormat/>
    <w:uiPriority w:val="0"/>
    <w:pPr>
      <w:numPr>
        <w:ilvl w:val="2"/>
      </w:numPr>
      <w:tabs>
        <w:tab w:val="left" w:pos="1730"/>
      </w:tabs>
      <w:spacing w:before="50" w:after="50"/>
      <w:ind w:left="1730" w:hanging="420"/>
      <w:outlineLvl w:val="3"/>
    </w:pPr>
    <w:rPr>
      <w:rFonts w:hAnsi="黑体"/>
    </w:rPr>
  </w:style>
  <w:style w:type="character" w:customStyle="1" w:styleId="240">
    <w:name w:val="一级条标题 Char"/>
    <w:link w:val="238"/>
    <w:qFormat/>
    <w:uiPriority w:val="0"/>
    <w:rPr>
      <w:rFonts w:ascii="黑体" w:hAnsi="Times New Roman" w:eastAsia="黑体"/>
      <w:sz w:val="21"/>
      <w:szCs w:val="21"/>
    </w:rPr>
  </w:style>
  <w:style w:type="character" w:customStyle="1" w:styleId="241">
    <w:name w:val="章标题 Char"/>
    <w:link w:val="237"/>
    <w:qFormat/>
    <w:uiPriority w:val="0"/>
    <w:rPr>
      <w:rFonts w:ascii="黑体" w:hAnsi="Times New Roman" w:eastAsia="黑体"/>
      <w:sz w:val="21"/>
    </w:rPr>
  </w:style>
  <w:style w:type="paragraph" w:customStyle="1" w:styleId="242">
    <w:name w:val="正文表标题"/>
    <w:next w:val="235"/>
    <w:link w:val="243"/>
    <w:qFormat/>
    <w:uiPriority w:val="0"/>
    <w:pPr>
      <w:tabs>
        <w:tab w:val="left" w:pos="360"/>
      </w:tabs>
      <w:spacing w:before="156" w:beforeLines="50" w:after="156" w:afterLines="50" w:line="278" w:lineRule="auto"/>
      <w:jc w:val="center"/>
    </w:pPr>
    <w:rPr>
      <w:rFonts w:ascii="黑体" w:hAnsi="Times New Roman" w:eastAsia="黑体" w:cs="Times New Roman"/>
      <w:sz w:val="21"/>
      <w:lang w:val="en-US" w:eastAsia="zh-CN" w:bidi="ar-SA"/>
    </w:rPr>
  </w:style>
  <w:style w:type="character" w:customStyle="1" w:styleId="243">
    <w:name w:val="正文表标题 Char"/>
    <w:link w:val="242"/>
    <w:qFormat/>
    <w:uiPriority w:val="0"/>
    <w:rPr>
      <w:rFonts w:ascii="黑体" w:hAnsi="Times New Roman" w:eastAsia="黑体"/>
      <w:sz w:val="21"/>
    </w:rPr>
  </w:style>
  <w:style w:type="paragraph" w:customStyle="1" w:styleId="244">
    <w:name w:val="其他标准标志"/>
    <w:basedOn w:val="54"/>
    <w:qFormat/>
    <w:uiPriority w:val="0"/>
    <w:pPr>
      <w:framePr w:w="6101" w:h="1389" w:hRule="exact" w:hSpace="181" w:vSpace="181" w:wrap="around" w:vAnchor="page" w:hAnchor="page" w:x="4673" w:y="942"/>
    </w:pPr>
    <w:rPr>
      <w:szCs w:val="96"/>
    </w:rPr>
  </w:style>
  <w:style w:type="paragraph" w:customStyle="1" w:styleId="245">
    <w:name w:val="封面标准号2"/>
    <w:qFormat/>
    <w:uiPriority w:val="0"/>
    <w:pPr>
      <w:framePr w:w="9140" w:h="1242" w:hRule="exact" w:hSpace="284" w:wrap="around" w:vAnchor="page" w:hAnchor="page" w:x="1645" w:y="2910" w:anchorLock="1"/>
      <w:spacing w:before="357" w:after="160" w:line="280" w:lineRule="exact"/>
      <w:jc w:val="right"/>
    </w:pPr>
    <w:rPr>
      <w:rFonts w:ascii="黑体" w:hAnsi="Times New Roman" w:eastAsia="黑体" w:cs="Times New Roman"/>
      <w:sz w:val="28"/>
      <w:szCs w:val="28"/>
      <w:lang w:val="en-US" w:eastAsia="zh-CN" w:bidi="ar-SA"/>
    </w:rPr>
  </w:style>
  <w:style w:type="paragraph" w:customStyle="1" w:styleId="246">
    <w:name w:val="目次、标准名称标题"/>
    <w:basedOn w:val="1"/>
    <w:next w:val="235"/>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247">
    <w:name w:val="前言、引言标题"/>
    <w:next w:val="235"/>
    <w:qFormat/>
    <w:uiPriority w:val="0"/>
    <w:pPr>
      <w:keepNext/>
      <w:pageBreakBefore/>
      <w:shd w:val="clear" w:color="FFFFFF" w:fill="FFFFFF"/>
      <w:spacing w:before="640" w:after="560" w:line="278" w:lineRule="auto"/>
      <w:jc w:val="center"/>
      <w:outlineLvl w:val="0"/>
    </w:pPr>
    <w:rPr>
      <w:rFonts w:ascii="黑体" w:hAnsi="Times New Roman" w:eastAsia="黑体" w:cs="Times New Roman"/>
      <w:sz w:val="32"/>
      <w:lang w:val="en-US" w:eastAsia="zh-CN" w:bidi="ar-SA"/>
    </w:rPr>
  </w:style>
  <w:style w:type="paragraph" w:customStyle="1" w:styleId="248">
    <w:name w:val="字母编号列项（一级）"/>
    <w:qFormat/>
    <w:uiPriority w:val="0"/>
    <w:pPr>
      <w:numPr>
        <w:ilvl w:val="0"/>
        <w:numId w:val="33"/>
      </w:numPr>
      <w:spacing w:after="160" w:line="278" w:lineRule="auto"/>
      <w:jc w:val="both"/>
    </w:pPr>
    <w:rPr>
      <w:rFonts w:ascii="宋体" w:hAnsi="Times New Roman" w:eastAsia="宋体" w:cs="Times New Roman"/>
      <w:sz w:val="21"/>
      <w:lang w:val="en-US" w:eastAsia="zh-CN" w:bidi="ar-SA"/>
    </w:rPr>
  </w:style>
  <w:style w:type="paragraph" w:customStyle="1" w:styleId="249">
    <w:name w:val="二级无"/>
    <w:basedOn w:val="239"/>
    <w:qFormat/>
    <w:uiPriority w:val="0"/>
    <w:pPr>
      <w:numPr>
        <w:numId w:val="23"/>
      </w:numPr>
      <w:tabs>
        <w:tab w:val="left" w:pos="851"/>
      </w:tabs>
      <w:spacing w:before="0" w:beforeLines="0" w:after="0" w:afterLines="0"/>
    </w:pPr>
    <w:rPr>
      <w:rFonts w:ascii="宋体" w:eastAsia="宋体"/>
    </w:rPr>
  </w:style>
  <w:style w:type="paragraph" w:customStyle="1" w:styleId="250">
    <w:name w:val="附录图标号"/>
    <w:basedOn w:val="1"/>
    <w:qFormat/>
    <w:uiPriority w:val="0"/>
    <w:pPr>
      <w:keepNext/>
      <w:pageBreakBefore/>
      <w:widowControl/>
      <w:numPr>
        <w:ilvl w:val="0"/>
        <w:numId w:val="34"/>
      </w:numPr>
      <w:adjustRightInd/>
      <w:spacing w:line="14" w:lineRule="exact"/>
      <w:ind w:left="0" w:firstLine="363"/>
      <w:jc w:val="center"/>
      <w:outlineLvl w:val="0"/>
    </w:pPr>
    <w:rPr>
      <w:rFonts w:ascii="Times New Roman" w:hAnsi="Times New Roman"/>
      <w:color w:val="FFFFFF"/>
      <w:szCs w:val="24"/>
    </w:rPr>
  </w:style>
  <w:style w:type="paragraph" w:customStyle="1" w:styleId="251">
    <w:name w:val="附录表标号"/>
    <w:basedOn w:val="1"/>
    <w:next w:val="235"/>
    <w:qFormat/>
    <w:uiPriority w:val="0"/>
    <w:pPr>
      <w:numPr>
        <w:ilvl w:val="0"/>
        <w:numId w:val="35"/>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252">
    <w:name w:val="附录标识"/>
    <w:basedOn w:val="1"/>
    <w:next w:val="235"/>
    <w:qFormat/>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3">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54">
    <w:name w:val="标准书眉_偶数页"/>
    <w:basedOn w:val="255"/>
    <w:next w:val="1"/>
    <w:qFormat/>
    <w:uiPriority w:val="0"/>
    <w:pPr>
      <w:tabs>
        <w:tab w:val="center" w:pos="4154"/>
        <w:tab w:val="right" w:pos="8306"/>
      </w:tabs>
      <w:jc w:val="left"/>
    </w:pPr>
  </w:style>
  <w:style w:type="paragraph" w:customStyle="1" w:styleId="255">
    <w:name w:val="标准书眉_奇数页"/>
    <w:next w:val="1"/>
    <w:qFormat/>
    <w:uiPriority w:val="0"/>
    <w:pPr>
      <w:tabs>
        <w:tab w:val="center" w:pos="4154"/>
        <w:tab w:val="right" w:pos="8306"/>
      </w:tabs>
      <w:spacing w:after="220" w:line="278" w:lineRule="auto"/>
      <w:jc w:val="right"/>
    </w:pPr>
    <w:rPr>
      <w:rFonts w:ascii="黑体" w:hAnsi="Times New Roman" w:eastAsia="黑体" w:cs="Times New Roman"/>
      <w:sz w:val="21"/>
      <w:szCs w:val="21"/>
      <w:lang w:val="en-US" w:eastAsia="zh-CN" w:bidi="ar-SA"/>
    </w:rPr>
  </w:style>
  <w:style w:type="paragraph" w:customStyle="1" w:styleId="256">
    <w:name w:val="标准书脚_偶数页"/>
    <w:qFormat/>
    <w:uiPriority w:val="0"/>
    <w:pPr>
      <w:spacing w:before="120" w:after="160" w:line="278" w:lineRule="auto"/>
      <w:ind w:left="221"/>
    </w:pPr>
    <w:rPr>
      <w:rFonts w:ascii="宋体" w:hAnsi="Times New Roman" w:eastAsia="宋体" w:cs="Times New Roman"/>
      <w:sz w:val="18"/>
      <w:szCs w:val="18"/>
      <w:lang w:val="en-US" w:eastAsia="zh-CN" w:bidi="ar-SA"/>
    </w:rPr>
  </w:style>
  <w:style w:type="paragraph" w:customStyle="1" w:styleId="257">
    <w:name w:val="标准书脚_奇数页"/>
    <w:qFormat/>
    <w:uiPriority w:val="0"/>
    <w:pPr>
      <w:spacing w:before="120" w:after="160" w:line="278" w:lineRule="auto"/>
      <w:ind w:right="198"/>
      <w:jc w:val="right"/>
    </w:pPr>
    <w:rPr>
      <w:rFonts w:ascii="宋体" w:hAnsi="Times New Roman" w:eastAsia="宋体" w:cs="Times New Roman"/>
      <w:sz w:val="18"/>
      <w:szCs w:val="18"/>
      <w:lang w:val="en-US" w:eastAsia="zh-CN" w:bidi="ar-SA"/>
    </w:rPr>
  </w:style>
  <w:style w:type="character" w:customStyle="1" w:styleId="258">
    <w:name w:val="二级条标题 Char"/>
    <w:link w:val="239"/>
    <w:qFormat/>
    <w:uiPriority w:val="0"/>
    <w:rPr>
      <w:rFonts w:ascii="黑体" w:hAnsi="黑体" w:eastAsia="黑体"/>
      <w:sz w:val="21"/>
      <w:szCs w:val="21"/>
    </w:rPr>
  </w:style>
  <w:style w:type="paragraph" w:customStyle="1" w:styleId="259">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styleId="260">
    <w:name w:val="List Paragraph"/>
    <w:basedOn w:val="1"/>
    <w:semiHidden/>
    <w:unhideWhenUsed/>
    <w:qFormat/>
    <w:uiPriority w:val="99"/>
    <w:pPr>
      <w:ind w:firstLine="420" w:firstLineChars="200"/>
    </w:pPr>
  </w:style>
  <w:style w:type="character" w:customStyle="1" w:styleId="261">
    <w:name w:val="未处理的提及1"/>
    <w:basedOn w:val="28"/>
    <w:semiHidden/>
    <w:unhideWhenUsed/>
    <w:qFormat/>
    <w:uiPriority w:val="99"/>
    <w:rPr>
      <w:color w:val="605E5C"/>
      <w:shd w:val="clear" w:color="auto" w:fill="E1DFDD"/>
    </w:rPr>
  </w:style>
  <w:style w:type="character" w:customStyle="1" w:styleId="262">
    <w:name w:val="font01"/>
    <w:basedOn w:val="28"/>
    <w:qFormat/>
    <w:uiPriority w:val="0"/>
    <w:rPr>
      <w:rFonts w:hint="eastAsia" w:ascii="宋体" w:hAnsi="宋体" w:eastAsia="宋体"/>
      <w:color w:val="000000"/>
      <w:sz w:val="22"/>
      <w:szCs w:val="22"/>
      <w:u w:val="none"/>
    </w:rPr>
  </w:style>
  <w:style w:type="character" w:customStyle="1" w:styleId="263">
    <w:name w:val="font11"/>
    <w:basedOn w:val="28"/>
    <w:qFormat/>
    <w:uiPriority w:val="0"/>
    <w:rPr>
      <w:rFonts w:hint="default" w:ascii="Wingdings 2" w:hAnsi="Wingdings 2"/>
      <w:color w:val="000000"/>
      <w:sz w:val="22"/>
      <w:szCs w:val="22"/>
      <w:u w:val="none"/>
    </w:rPr>
  </w:style>
  <w:style w:type="character" w:customStyle="1" w:styleId="264">
    <w:name w:val="未处理的提及2"/>
    <w:basedOn w:val="28"/>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1F808B638A24BC7B36B841EBF7BDFA0"/>
        <w:style w:val=""/>
        <w:category>
          <w:name w:val="常规"/>
          <w:gallery w:val="placeholder"/>
        </w:category>
        <w:types>
          <w:type w:val="bbPlcHdr"/>
        </w:types>
        <w:behaviors>
          <w:behavior w:val="content"/>
        </w:behaviors>
        <w:description w:val=""/>
        <w:guid w:val="{C9AD7B61-84B9-45A9-979A-1FBEBD56DC83}"/>
      </w:docPartPr>
      <w:docPartBody>
        <w:p w14:paraId="421FC474">
          <w:pPr>
            <w:pStyle w:val="5"/>
            <w:rPr>
              <w:rFonts w:hint="eastAsia"/>
            </w:rPr>
          </w:pPr>
          <w:r>
            <w:rPr>
              <w:rStyle w:val="4"/>
              <w:rFonts w:hint="eastAsia"/>
            </w:rPr>
            <w:t>单击或点击此处输入文字。</w:t>
          </w:r>
        </w:p>
      </w:docPartBody>
    </w:docPart>
    <w:docPart>
      <w:docPartPr>
        <w:name w:val="7673443F1A9149728A96749CF357E54C"/>
        <w:style w:val=""/>
        <w:category>
          <w:name w:val="常规"/>
          <w:gallery w:val="placeholder"/>
        </w:category>
        <w:types>
          <w:type w:val="bbPlcHdr"/>
        </w:types>
        <w:behaviors>
          <w:behavior w:val="content"/>
        </w:behaviors>
        <w:description w:val=""/>
        <w:guid w:val="{94755994-2214-4472-BD84-471DCCA0E95E}"/>
      </w:docPartPr>
      <w:docPartBody>
        <w:p w14:paraId="01BEB463">
          <w:pPr>
            <w:pStyle w:val="6"/>
            <w:rPr>
              <w:rFonts w:hint="eastAsia"/>
            </w:rPr>
          </w:pPr>
          <w:r>
            <w:rPr>
              <w:rStyle w:val="4"/>
              <w:rFonts w:hint="eastAsia"/>
            </w:rPr>
            <w:t>选择一项。</w:t>
          </w:r>
        </w:p>
      </w:docPartBody>
    </w:docPart>
    <w:docPart>
      <w:docPartPr>
        <w:name w:val="D1BAE055975A4EEF9867C9F2A8F06D9B"/>
        <w:style w:val=""/>
        <w:category>
          <w:name w:val="常规"/>
          <w:gallery w:val="placeholder"/>
        </w:category>
        <w:types>
          <w:type w:val="bbPlcHdr"/>
        </w:types>
        <w:behaviors>
          <w:behavior w:val="content"/>
        </w:behaviors>
        <w:description w:val=""/>
        <w:guid w:val="{FD576E1B-EAE2-4296-A291-D9E342BBDF66}"/>
      </w:docPartPr>
      <w:docPartBody>
        <w:p w14:paraId="400E3203">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899"/>
    <w:rsid w:val="00000956"/>
    <w:rsid w:val="000074E4"/>
    <w:rsid w:val="0002594B"/>
    <w:rsid w:val="00031FB8"/>
    <w:rsid w:val="00032E74"/>
    <w:rsid w:val="00047561"/>
    <w:rsid w:val="0005680A"/>
    <w:rsid w:val="000865D0"/>
    <w:rsid w:val="000953A2"/>
    <w:rsid w:val="00096117"/>
    <w:rsid w:val="000A223E"/>
    <w:rsid w:val="000A7503"/>
    <w:rsid w:val="000B5421"/>
    <w:rsid w:val="000F5D84"/>
    <w:rsid w:val="000F6D0C"/>
    <w:rsid w:val="001072C9"/>
    <w:rsid w:val="0011230A"/>
    <w:rsid w:val="00124CF1"/>
    <w:rsid w:val="00126E69"/>
    <w:rsid w:val="001432B7"/>
    <w:rsid w:val="00144015"/>
    <w:rsid w:val="00174C0F"/>
    <w:rsid w:val="00190BB1"/>
    <w:rsid w:val="0019299C"/>
    <w:rsid w:val="001A3586"/>
    <w:rsid w:val="001B1CDF"/>
    <w:rsid w:val="001C305F"/>
    <w:rsid w:val="001F6B17"/>
    <w:rsid w:val="002006DB"/>
    <w:rsid w:val="002027D7"/>
    <w:rsid w:val="00210983"/>
    <w:rsid w:val="00214557"/>
    <w:rsid w:val="00226B3D"/>
    <w:rsid w:val="00230367"/>
    <w:rsid w:val="002472F2"/>
    <w:rsid w:val="002A7CD7"/>
    <w:rsid w:val="002B423E"/>
    <w:rsid w:val="002D7C53"/>
    <w:rsid w:val="002E4A5D"/>
    <w:rsid w:val="00301D38"/>
    <w:rsid w:val="00317222"/>
    <w:rsid w:val="00320D01"/>
    <w:rsid w:val="00336A7C"/>
    <w:rsid w:val="00352D0C"/>
    <w:rsid w:val="00356F28"/>
    <w:rsid w:val="00360BE6"/>
    <w:rsid w:val="00375A4E"/>
    <w:rsid w:val="003A1FE1"/>
    <w:rsid w:val="003C2085"/>
    <w:rsid w:val="003D486F"/>
    <w:rsid w:val="003D5890"/>
    <w:rsid w:val="003E40EA"/>
    <w:rsid w:val="003E502B"/>
    <w:rsid w:val="003E74A4"/>
    <w:rsid w:val="003E7DAA"/>
    <w:rsid w:val="003F3A6C"/>
    <w:rsid w:val="003F3F33"/>
    <w:rsid w:val="0040319D"/>
    <w:rsid w:val="00414291"/>
    <w:rsid w:val="00425403"/>
    <w:rsid w:val="0043107A"/>
    <w:rsid w:val="00432170"/>
    <w:rsid w:val="00461A6D"/>
    <w:rsid w:val="004741BE"/>
    <w:rsid w:val="00475319"/>
    <w:rsid w:val="00475C64"/>
    <w:rsid w:val="004812CE"/>
    <w:rsid w:val="00486F7B"/>
    <w:rsid w:val="004A059C"/>
    <w:rsid w:val="004E0009"/>
    <w:rsid w:val="005003C5"/>
    <w:rsid w:val="00514458"/>
    <w:rsid w:val="00545F4E"/>
    <w:rsid w:val="0054731C"/>
    <w:rsid w:val="005736DB"/>
    <w:rsid w:val="0058239D"/>
    <w:rsid w:val="00596E77"/>
    <w:rsid w:val="005B5503"/>
    <w:rsid w:val="005C1A0C"/>
    <w:rsid w:val="005F3AC9"/>
    <w:rsid w:val="00602965"/>
    <w:rsid w:val="006151AF"/>
    <w:rsid w:val="00653B3C"/>
    <w:rsid w:val="00682407"/>
    <w:rsid w:val="006A16BE"/>
    <w:rsid w:val="006A306B"/>
    <w:rsid w:val="006B305A"/>
    <w:rsid w:val="006B7BC5"/>
    <w:rsid w:val="006F605A"/>
    <w:rsid w:val="0071083C"/>
    <w:rsid w:val="00717AB4"/>
    <w:rsid w:val="007229D7"/>
    <w:rsid w:val="00731895"/>
    <w:rsid w:val="00737AC2"/>
    <w:rsid w:val="007536E6"/>
    <w:rsid w:val="00761ED7"/>
    <w:rsid w:val="00763545"/>
    <w:rsid w:val="00767E21"/>
    <w:rsid w:val="0077233E"/>
    <w:rsid w:val="00774BA5"/>
    <w:rsid w:val="007B0EEC"/>
    <w:rsid w:val="007B1DF8"/>
    <w:rsid w:val="007F0E5D"/>
    <w:rsid w:val="008038DA"/>
    <w:rsid w:val="0081671F"/>
    <w:rsid w:val="00833FFA"/>
    <w:rsid w:val="00840039"/>
    <w:rsid w:val="00895883"/>
    <w:rsid w:val="008A7E47"/>
    <w:rsid w:val="008B1DA0"/>
    <w:rsid w:val="008D489E"/>
    <w:rsid w:val="008E2248"/>
    <w:rsid w:val="008F0FE3"/>
    <w:rsid w:val="00917538"/>
    <w:rsid w:val="00926A20"/>
    <w:rsid w:val="009358ED"/>
    <w:rsid w:val="009627B4"/>
    <w:rsid w:val="00974EC3"/>
    <w:rsid w:val="0098449B"/>
    <w:rsid w:val="00984E65"/>
    <w:rsid w:val="00987544"/>
    <w:rsid w:val="009911BA"/>
    <w:rsid w:val="00993417"/>
    <w:rsid w:val="00997C81"/>
    <w:rsid w:val="009A11C9"/>
    <w:rsid w:val="009B432E"/>
    <w:rsid w:val="009C0ABA"/>
    <w:rsid w:val="009C642A"/>
    <w:rsid w:val="009C76BF"/>
    <w:rsid w:val="009E21BB"/>
    <w:rsid w:val="009F7413"/>
    <w:rsid w:val="00A1232C"/>
    <w:rsid w:val="00A20A28"/>
    <w:rsid w:val="00A22379"/>
    <w:rsid w:val="00A23601"/>
    <w:rsid w:val="00A34E82"/>
    <w:rsid w:val="00A528CC"/>
    <w:rsid w:val="00A53679"/>
    <w:rsid w:val="00A60A32"/>
    <w:rsid w:val="00A70B05"/>
    <w:rsid w:val="00A81A57"/>
    <w:rsid w:val="00AA1BC2"/>
    <w:rsid w:val="00AE0D53"/>
    <w:rsid w:val="00AE76A3"/>
    <w:rsid w:val="00AF0488"/>
    <w:rsid w:val="00AF551C"/>
    <w:rsid w:val="00B046DB"/>
    <w:rsid w:val="00B13FFC"/>
    <w:rsid w:val="00B1685C"/>
    <w:rsid w:val="00B22809"/>
    <w:rsid w:val="00B26A98"/>
    <w:rsid w:val="00B51208"/>
    <w:rsid w:val="00B51F8D"/>
    <w:rsid w:val="00B57989"/>
    <w:rsid w:val="00B75C4D"/>
    <w:rsid w:val="00B8171A"/>
    <w:rsid w:val="00B835EB"/>
    <w:rsid w:val="00B94A52"/>
    <w:rsid w:val="00BA626C"/>
    <w:rsid w:val="00BD21FF"/>
    <w:rsid w:val="00BD24A5"/>
    <w:rsid w:val="00BF2804"/>
    <w:rsid w:val="00BF7E29"/>
    <w:rsid w:val="00C01050"/>
    <w:rsid w:val="00C27FAE"/>
    <w:rsid w:val="00C31B64"/>
    <w:rsid w:val="00C41A43"/>
    <w:rsid w:val="00C5499A"/>
    <w:rsid w:val="00C92C1C"/>
    <w:rsid w:val="00C95072"/>
    <w:rsid w:val="00CA6AF7"/>
    <w:rsid w:val="00CC2711"/>
    <w:rsid w:val="00CC5AF8"/>
    <w:rsid w:val="00CC66CE"/>
    <w:rsid w:val="00CD42CA"/>
    <w:rsid w:val="00CD7F19"/>
    <w:rsid w:val="00D02195"/>
    <w:rsid w:val="00D25433"/>
    <w:rsid w:val="00D43DEB"/>
    <w:rsid w:val="00D535DD"/>
    <w:rsid w:val="00D54DBF"/>
    <w:rsid w:val="00D73EE6"/>
    <w:rsid w:val="00DA759B"/>
    <w:rsid w:val="00DB0309"/>
    <w:rsid w:val="00DB68B8"/>
    <w:rsid w:val="00DC16F2"/>
    <w:rsid w:val="00DC496A"/>
    <w:rsid w:val="00DC4D38"/>
    <w:rsid w:val="00DC63DA"/>
    <w:rsid w:val="00DE248F"/>
    <w:rsid w:val="00E1458C"/>
    <w:rsid w:val="00E209DF"/>
    <w:rsid w:val="00E55EBC"/>
    <w:rsid w:val="00ED21AE"/>
    <w:rsid w:val="00F0283D"/>
    <w:rsid w:val="00F04BFB"/>
    <w:rsid w:val="00F17208"/>
    <w:rsid w:val="00F36E45"/>
    <w:rsid w:val="00F40968"/>
    <w:rsid w:val="00F432F6"/>
    <w:rsid w:val="00F5536D"/>
    <w:rsid w:val="00F57BC8"/>
    <w:rsid w:val="00F72D4F"/>
    <w:rsid w:val="00F92758"/>
    <w:rsid w:val="00F975BE"/>
    <w:rsid w:val="00FA3A8F"/>
    <w:rsid w:val="00FD7E7D"/>
    <w:rsid w:val="00FE4F50"/>
    <w:rsid w:val="00FE7E00"/>
    <w:rsid w:val="00FF0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1F808B638A24BC7B36B841EBF7BDFA0"/>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customStyle="1" w:styleId="6">
    <w:name w:val="7673443F1A9149728A96749CF357E54C"/>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customStyle="1" w:styleId="7">
    <w:name w:val="D1BAE055975A4EEF9867C9F2A8F06D9B"/>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B0B223-6A0B-4B0D-B8AB-73F1657E635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17</Pages>
  <Words>6726</Words>
  <Characters>7886</Characters>
  <Lines>71</Lines>
  <Paragraphs>20</Paragraphs>
  <TotalTime>5</TotalTime>
  <ScaleCrop>false</ScaleCrop>
  <LinksUpToDate>false</LinksUpToDate>
  <CharactersWithSpaces>8351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2023-03-06T03:22:00Z</dcterms:created>
  <dc:creator>Windows User</dc:creator>
  <dc:description>&lt;config cover="true" show_menu="true" version="1.0.0" doctype="SDKXY"&gt;_x000d_
&lt;/config&gt;</dc:description>
  <cp:lastModifiedBy>Snow＿卷卷</cp:lastModifiedBy>
  <cp:lastPrinted>2025-06-06T01:24:00Z</cp:lastPrinted>
  <dcterms:modified xsi:type="dcterms:W3CDTF">2025-11-03T02:22:42Z</dcterms:modified>
  <dc:title>地方标准</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BD53C00EACA347B5B7C4F97B3AB85C76_12</vt:lpwstr>
  </property>
  <property fmtid="{D5CDD505-2E9C-101B-9397-08002B2CF9AE}" pid="16" name="KSOTemplateDocerSaveRecord">
    <vt:lpwstr>eyJoZGlkIjoiZThjZjYzZjRkYmNkNGVlZjYyNjc4ODU5OTViMTBmNjEiLCJ1c2VySWQiOiI1MjA2Nzk3NTEifQ==</vt:lpwstr>
  </property>
  <property fmtid="{D5CDD505-2E9C-101B-9397-08002B2CF9AE}" pid="17" name="DoublePage">
    <vt:lpwstr>true</vt:lpwstr>
  </property>
</Properties>
</file>